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277"/>
        <w:gridCol w:w="3933"/>
      </w:tblGrid>
      <w:tr w:rsidR="00A80A17" w:rsidRPr="00D55A2A" w:rsidTr="008D20BB">
        <w:tc>
          <w:tcPr>
            <w:tcW w:w="6487" w:type="dxa"/>
            <w:gridSpan w:val="2"/>
            <w:shd w:val="clear" w:color="auto" w:fill="auto"/>
          </w:tcPr>
          <w:p w:rsidR="00A80A17" w:rsidRPr="00D55A2A" w:rsidRDefault="00A80A17" w:rsidP="00F76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3933" w:type="dxa"/>
            <w:shd w:val="clear" w:color="auto" w:fill="auto"/>
          </w:tcPr>
          <w:p w:rsidR="00A80A17" w:rsidRDefault="00A80A17" w:rsidP="00F768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E66E1" w:rsidRPr="00D55A2A" w:rsidRDefault="003E66E1" w:rsidP="00F768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80A17" w:rsidRPr="00F76830" w:rsidTr="00346D6A">
        <w:tc>
          <w:tcPr>
            <w:tcW w:w="5210" w:type="dxa"/>
            <w:shd w:val="clear" w:color="auto" w:fill="auto"/>
          </w:tcPr>
          <w:p w:rsidR="00A80A17" w:rsidRPr="00F76830" w:rsidRDefault="00F76830" w:rsidP="00F76830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br w:type="page"/>
            </w:r>
          </w:p>
        </w:tc>
        <w:tc>
          <w:tcPr>
            <w:tcW w:w="5210" w:type="dxa"/>
            <w:gridSpan w:val="2"/>
            <w:shd w:val="clear" w:color="auto" w:fill="auto"/>
          </w:tcPr>
          <w:p w:rsidR="00A80A17" w:rsidRPr="00F76830" w:rsidRDefault="00A80A17" w:rsidP="003E66E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A80A17" w:rsidRPr="004B666D" w:rsidRDefault="00A80A17" w:rsidP="00F76830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  <w:r w:rsidRPr="004B666D">
        <w:rPr>
          <w:b/>
          <w:color w:val="FF0000"/>
          <w:sz w:val="28"/>
          <w:szCs w:val="28"/>
        </w:rPr>
        <w:t>ПАСПОРТ УСЛУГ</w:t>
      </w:r>
      <w:r w:rsidR="00F14550" w:rsidRPr="004B666D">
        <w:rPr>
          <w:b/>
          <w:color w:val="FF0000"/>
          <w:sz w:val="28"/>
          <w:szCs w:val="28"/>
        </w:rPr>
        <w:t>И</w:t>
      </w:r>
      <w:r w:rsidRPr="004B666D">
        <w:rPr>
          <w:b/>
          <w:color w:val="FF0000"/>
          <w:sz w:val="28"/>
          <w:szCs w:val="28"/>
        </w:rPr>
        <w:t xml:space="preserve"> (ПРОЦЕССА) СЕТЕВОЙ ОРГАНИЗАЦИИ</w:t>
      </w:r>
    </w:p>
    <w:p w:rsidR="005C157C" w:rsidRDefault="005C157C" w:rsidP="00F76830">
      <w:pPr>
        <w:autoSpaceDE w:val="0"/>
        <w:autoSpaceDN w:val="0"/>
        <w:adjustRightInd w:val="0"/>
        <w:jc w:val="center"/>
        <w:outlineLvl w:val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по передаче</w:t>
      </w:r>
      <w:r w:rsidR="004B666D" w:rsidRPr="004B666D">
        <w:rPr>
          <w:b/>
          <w:color w:val="0070C0"/>
          <w:sz w:val="28"/>
          <w:szCs w:val="28"/>
          <w:u w:val="single"/>
        </w:rPr>
        <w:t xml:space="preserve"> электрической энергии</w:t>
      </w:r>
      <w:r w:rsidR="004B666D">
        <w:rPr>
          <w:b/>
          <w:color w:val="0070C0"/>
          <w:sz w:val="28"/>
          <w:szCs w:val="28"/>
          <w:u w:val="single"/>
        </w:rPr>
        <w:t xml:space="preserve"> </w:t>
      </w:r>
    </w:p>
    <w:p w:rsidR="00A5399C" w:rsidRDefault="00A5399C" w:rsidP="00F76830">
      <w:pPr>
        <w:autoSpaceDE w:val="0"/>
        <w:autoSpaceDN w:val="0"/>
        <w:adjustRightInd w:val="0"/>
        <w:jc w:val="center"/>
        <w:outlineLvl w:val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и</w:t>
      </w:r>
    </w:p>
    <w:p w:rsidR="004B666D" w:rsidRPr="004B666D" w:rsidRDefault="00A5399C" w:rsidP="00F76830">
      <w:pPr>
        <w:autoSpaceDE w:val="0"/>
        <w:autoSpaceDN w:val="0"/>
        <w:adjustRightInd w:val="0"/>
        <w:jc w:val="center"/>
        <w:outlineLvl w:val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по </w:t>
      </w:r>
      <w:r w:rsidR="005C157C">
        <w:rPr>
          <w:b/>
          <w:color w:val="0070C0"/>
          <w:sz w:val="28"/>
          <w:szCs w:val="28"/>
          <w:u w:val="single"/>
        </w:rPr>
        <w:t>технологическо</w:t>
      </w:r>
      <w:r w:rsidR="00D30B7A">
        <w:rPr>
          <w:b/>
          <w:color w:val="0070C0"/>
          <w:sz w:val="28"/>
          <w:szCs w:val="28"/>
          <w:u w:val="single"/>
        </w:rPr>
        <w:t>му</w:t>
      </w:r>
      <w:r w:rsidR="005C157C">
        <w:rPr>
          <w:b/>
          <w:color w:val="0070C0"/>
          <w:sz w:val="28"/>
          <w:szCs w:val="28"/>
          <w:u w:val="single"/>
        </w:rPr>
        <w:t xml:space="preserve"> присоединени</w:t>
      </w:r>
      <w:r w:rsidR="00D30B7A">
        <w:rPr>
          <w:b/>
          <w:color w:val="0070C0"/>
          <w:sz w:val="28"/>
          <w:szCs w:val="28"/>
          <w:u w:val="single"/>
        </w:rPr>
        <w:t>ю</w:t>
      </w:r>
    </w:p>
    <w:p w:rsidR="00A80A17" w:rsidRPr="004B666D" w:rsidRDefault="00A80A17" w:rsidP="00F76830">
      <w:pPr>
        <w:autoSpaceDE w:val="0"/>
        <w:autoSpaceDN w:val="0"/>
        <w:adjustRightInd w:val="0"/>
        <w:jc w:val="center"/>
        <w:outlineLvl w:val="0"/>
        <w:rPr>
          <w:sz w:val="12"/>
          <w:szCs w:val="12"/>
        </w:rPr>
      </w:pPr>
      <w:r w:rsidRPr="004B666D">
        <w:rPr>
          <w:sz w:val="12"/>
          <w:szCs w:val="12"/>
        </w:rPr>
        <w:t>наименование услуги (процесса)</w:t>
      </w:r>
    </w:p>
    <w:p w:rsidR="00A80A17" w:rsidRPr="004C0FA7" w:rsidRDefault="00C60608" w:rsidP="00F76830">
      <w:pPr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Круг заявителей</w:t>
      </w:r>
      <w:r w:rsidR="00A80A17" w:rsidRPr="005C157C">
        <w:rPr>
          <w:b/>
          <w:sz w:val="28"/>
          <w:szCs w:val="28"/>
        </w:rPr>
        <w:t>:</w:t>
      </w:r>
      <w:r w:rsidR="004C0FA7">
        <w:rPr>
          <w:sz w:val="28"/>
          <w:szCs w:val="28"/>
        </w:rPr>
        <w:t xml:space="preserve"> </w:t>
      </w:r>
      <w:r w:rsidR="004C0FA7" w:rsidRPr="004C0FA7">
        <w:rPr>
          <w:sz w:val="28"/>
          <w:szCs w:val="28"/>
          <w:u w:val="single"/>
        </w:rPr>
        <w:t>Заявители</w:t>
      </w:r>
      <w:r w:rsidR="004C0FA7">
        <w:rPr>
          <w:sz w:val="28"/>
          <w:szCs w:val="28"/>
          <w:u w:val="single"/>
        </w:rPr>
        <w:t xml:space="preserve">, подающие заявку на техприсоединене, </w:t>
      </w:r>
      <w:r w:rsidR="00044678">
        <w:rPr>
          <w:sz w:val="28"/>
          <w:szCs w:val="28"/>
          <w:u w:val="single"/>
        </w:rPr>
        <w:t>потребители услуг по передаче электрической энергии.</w:t>
      </w:r>
    </w:p>
    <w:p w:rsidR="008D561F" w:rsidRDefault="00C60608" w:rsidP="00875D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Размер платы за предоставление услуги</w:t>
      </w:r>
      <w:r w:rsidR="00A80A17" w:rsidRPr="005C157C">
        <w:rPr>
          <w:b/>
          <w:sz w:val="28"/>
          <w:szCs w:val="28"/>
        </w:rPr>
        <w:t xml:space="preserve"> (процесса)</w:t>
      </w:r>
      <w:r w:rsidR="00A80A17" w:rsidRPr="00E77C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30B7A">
        <w:rPr>
          <w:sz w:val="28"/>
          <w:szCs w:val="28"/>
          <w:u w:val="single"/>
        </w:rPr>
        <w:t>Плата за исполнение услуг не предусмотрено.</w:t>
      </w:r>
    </w:p>
    <w:p w:rsidR="00A80A17" w:rsidRPr="008D561F" w:rsidRDefault="00A80A17" w:rsidP="00875D82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5C157C">
        <w:rPr>
          <w:b/>
          <w:sz w:val="28"/>
          <w:szCs w:val="28"/>
        </w:rPr>
        <w:t>Условия оказания услуг (процесса)</w:t>
      </w:r>
      <w:r w:rsidRPr="00E77C12">
        <w:rPr>
          <w:sz w:val="28"/>
          <w:szCs w:val="28"/>
        </w:rPr>
        <w:t>:</w:t>
      </w:r>
      <w:r w:rsidR="008D561F" w:rsidRPr="008D561F">
        <w:rPr>
          <w:sz w:val="28"/>
          <w:szCs w:val="28"/>
          <w:u w:val="single"/>
        </w:rPr>
        <w:t xml:space="preserve"> </w:t>
      </w:r>
      <w:r w:rsidR="00D30B7A">
        <w:rPr>
          <w:sz w:val="28"/>
          <w:szCs w:val="28"/>
          <w:u w:val="single"/>
        </w:rPr>
        <w:t>Очное и заочное</w:t>
      </w:r>
      <w:r w:rsidR="008D561F">
        <w:rPr>
          <w:sz w:val="28"/>
          <w:szCs w:val="28"/>
          <w:u w:val="single"/>
        </w:rPr>
        <w:t>.</w:t>
      </w:r>
    </w:p>
    <w:p w:rsidR="00A80A17" w:rsidRPr="002245AE" w:rsidRDefault="00A80A17" w:rsidP="00875D82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5C157C">
        <w:rPr>
          <w:b/>
          <w:sz w:val="28"/>
          <w:szCs w:val="28"/>
        </w:rPr>
        <w:t>Порядок оказания услуг (процесса):</w:t>
      </w:r>
      <w:r w:rsidR="00044678">
        <w:rPr>
          <w:sz w:val="28"/>
          <w:szCs w:val="28"/>
        </w:rPr>
        <w:t xml:space="preserve"> </w:t>
      </w:r>
      <w:r w:rsidR="00D30B7A">
        <w:rPr>
          <w:sz w:val="28"/>
          <w:szCs w:val="28"/>
          <w:u w:val="single"/>
        </w:rPr>
        <w:t>Очное</w:t>
      </w:r>
      <w:r w:rsidR="002F1AD9">
        <w:rPr>
          <w:sz w:val="28"/>
          <w:szCs w:val="28"/>
          <w:u w:val="single"/>
        </w:rPr>
        <w:t xml:space="preserve"> обслуживание потребителей  в офисах обслуживания</w:t>
      </w:r>
      <w:r w:rsidR="00D30B7A">
        <w:rPr>
          <w:sz w:val="28"/>
          <w:szCs w:val="28"/>
          <w:u w:val="single"/>
        </w:rPr>
        <w:t xml:space="preserve"> и заочное обслуживание потребителей</w:t>
      </w:r>
      <w:r w:rsidR="002F1AD9">
        <w:rPr>
          <w:sz w:val="28"/>
          <w:szCs w:val="28"/>
          <w:u w:val="single"/>
        </w:rPr>
        <w:t xml:space="preserve">  с использованием телефонной связи и на официальном сайте в сети интернет</w:t>
      </w:r>
      <w:r w:rsidR="00D30B7A">
        <w:rPr>
          <w:sz w:val="28"/>
          <w:szCs w:val="28"/>
          <w:u w:val="single"/>
        </w:rPr>
        <w:t>.</w:t>
      </w:r>
    </w:p>
    <w:p w:rsidR="00C60608" w:rsidRDefault="00C60608" w:rsidP="00C60608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80A17" w:rsidRDefault="00811267" w:rsidP="0044643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Услуг</w:t>
      </w:r>
      <w:r w:rsidR="00364655">
        <w:rPr>
          <w:b/>
          <w:sz w:val="28"/>
          <w:szCs w:val="28"/>
        </w:rPr>
        <w:t>и</w:t>
      </w:r>
      <w:r w:rsidRPr="00364655">
        <w:rPr>
          <w:b/>
          <w:sz w:val="28"/>
          <w:szCs w:val="28"/>
        </w:rPr>
        <w:t xml:space="preserve"> (процесс</w:t>
      </w:r>
      <w:r w:rsidR="00364655">
        <w:rPr>
          <w:b/>
          <w:sz w:val="28"/>
          <w:szCs w:val="28"/>
        </w:rPr>
        <w:t>ы</w:t>
      </w:r>
      <w:r w:rsidRPr="00364655">
        <w:rPr>
          <w:b/>
          <w:sz w:val="28"/>
          <w:szCs w:val="28"/>
        </w:rPr>
        <w:t>)</w:t>
      </w:r>
      <w:r w:rsidR="00364655">
        <w:rPr>
          <w:b/>
          <w:sz w:val="28"/>
          <w:szCs w:val="28"/>
        </w:rPr>
        <w:t xml:space="preserve"> офисов обслуживания</w:t>
      </w:r>
      <w:r w:rsidR="004F77B7">
        <w:rPr>
          <w:b/>
          <w:sz w:val="28"/>
          <w:szCs w:val="28"/>
        </w:rPr>
        <w:t xml:space="preserve"> потребителей </w:t>
      </w:r>
      <w:r w:rsidRPr="00364655">
        <w:rPr>
          <w:b/>
          <w:sz w:val="28"/>
          <w:szCs w:val="28"/>
        </w:rPr>
        <w:t>очного обслуживания:</w:t>
      </w:r>
    </w:p>
    <w:p w:rsidR="0044643F" w:rsidRPr="00364655" w:rsidRDefault="0044643F" w:rsidP="00875D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2126"/>
      </w:tblGrid>
      <w:tr w:rsidR="00A74A7C" w:rsidRPr="0082755A" w:rsidTr="00A74A7C">
        <w:trPr>
          <w:trHeight w:val="181"/>
        </w:trPr>
        <w:tc>
          <w:tcPr>
            <w:tcW w:w="851" w:type="dxa"/>
            <w:tcBorders>
              <w:bottom w:val="double" w:sz="4" w:space="0" w:color="auto"/>
            </w:tcBorders>
          </w:tcPr>
          <w:p w:rsidR="00A74A7C" w:rsidRPr="00D360DE" w:rsidRDefault="00A74A7C" w:rsidP="00F76830">
            <w:pPr>
              <w:pStyle w:val="ae"/>
              <w:keepNext w:val="0"/>
              <w:suppressAutoHyphens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A74A7C" w:rsidRPr="00D360DE" w:rsidRDefault="00A74A7C" w:rsidP="00811267">
            <w:pPr>
              <w:pStyle w:val="ae"/>
              <w:keepNext w:val="0"/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Содержание/Условия этапа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74A7C" w:rsidRPr="009B0E48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A74A7C" w:rsidRPr="0082755A" w:rsidTr="00A74A7C">
        <w:trPr>
          <w:trHeight w:val="746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74A7C" w:rsidRPr="00D360DE" w:rsidRDefault="00A74A7C" w:rsidP="00F76830">
            <w:pPr>
              <w:pStyle w:val="ae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sz w:val="22"/>
                <w:szCs w:val="22"/>
              </w:rPr>
              <w:t>Прием и регистрация 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актов: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1.1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A74A7C" w:rsidRPr="00D360DE" w:rsidRDefault="00A74A7C" w:rsidP="00F76830">
            <w:pPr>
              <w:pStyle w:val="ae"/>
              <w:keepNext w:val="0"/>
              <w:suppressAutoHyphens/>
              <w:ind w:firstLine="32"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прием жалобы потребителя в письменной форме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110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A74A7C" w:rsidRPr="00D360DE" w:rsidRDefault="00A74A7C" w:rsidP="00F76830">
            <w:pPr>
              <w:pStyle w:val="ae"/>
              <w:keepNext w:val="0"/>
              <w:suppressAutoHyphens/>
              <w:ind w:firstLine="32"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прием заявки/заявления на оказание услуг в письменной форме, в т</w:t>
            </w:r>
            <w:r>
              <w:rPr>
                <w:position w:val="-6"/>
                <w:sz w:val="22"/>
                <w:szCs w:val="22"/>
              </w:rPr>
              <w:t>.</w:t>
            </w:r>
            <w:r w:rsidRPr="00D360DE">
              <w:rPr>
                <w:position w:val="-6"/>
                <w:sz w:val="22"/>
                <w:szCs w:val="22"/>
              </w:rPr>
              <w:t>ч</w:t>
            </w:r>
            <w:r>
              <w:rPr>
                <w:position w:val="-6"/>
                <w:sz w:val="22"/>
                <w:szCs w:val="22"/>
              </w:rPr>
              <w:t>.: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6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pStyle w:val="ae"/>
              <w:keepNext w:val="0"/>
              <w:suppressAutoHyphens/>
              <w:ind w:firstLine="601"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color w:val="000000"/>
                <w:sz w:val="22"/>
                <w:szCs w:val="22"/>
              </w:rPr>
              <w:t>заявки на технологическое присоединение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 xml:space="preserve">за одно посещение, в случае </w:t>
            </w:r>
            <w:r w:rsidRPr="00D360DE">
              <w:rPr>
                <w:sz w:val="22"/>
                <w:szCs w:val="22"/>
              </w:rPr>
              <w:t>комплектности документов и полноты сведений в заяв</w:t>
            </w:r>
            <w:r>
              <w:rPr>
                <w:sz w:val="22"/>
                <w:szCs w:val="22"/>
              </w:rPr>
              <w:t>лении</w:t>
            </w:r>
          </w:p>
        </w:tc>
      </w:tr>
      <w:tr w:rsidR="00A74A7C" w:rsidRPr="0082755A" w:rsidTr="00A74A7C">
        <w:trPr>
          <w:trHeight w:val="191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color w:val="000000"/>
              </w:rPr>
            </w:pPr>
            <w:r w:rsidRPr="00D360DE">
              <w:rPr>
                <w:color w:val="000000"/>
                <w:sz w:val="22"/>
                <w:szCs w:val="22"/>
              </w:rPr>
              <w:t xml:space="preserve">обращения потребителя о </w:t>
            </w:r>
            <w:r w:rsidRPr="00D360DE">
              <w:rPr>
                <w:rFonts w:eastAsia="Calibri"/>
                <w:sz w:val="22"/>
                <w:szCs w:val="22"/>
                <w:lang w:eastAsia="en-US"/>
              </w:rPr>
              <w:t>продлении срока действия ранее выданных технических условий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посещение, в случае комплектности документов и полноты сведений, указанных в заявлении</w:t>
            </w:r>
          </w:p>
        </w:tc>
      </w:tr>
      <w:tr w:rsidR="00A74A7C" w:rsidRPr="0082755A" w:rsidTr="00A74A7C">
        <w:trPr>
          <w:trHeight w:val="525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заявления о восстановлении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посещение, в случае комплектности документов и полноты сведений, указанных в заявлении</w:t>
            </w:r>
          </w:p>
        </w:tc>
      </w:tr>
      <w:tr w:rsidR="00A74A7C" w:rsidRPr="0082755A" w:rsidTr="00A74A7C">
        <w:trPr>
          <w:trHeight w:val="213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уведомления о заключении соглашения о перераспределении присоединенной мощности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заявления на заключение договора об оказании услуг по передаче электрической энергии</w:t>
            </w:r>
          </w:p>
        </w:tc>
        <w:tc>
          <w:tcPr>
            <w:tcW w:w="2126" w:type="dxa"/>
            <w:vMerge w:val="restart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 xml:space="preserve">за одно посещение, в случае </w:t>
            </w:r>
            <w:r w:rsidRPr="00D360DE">
              <w:rPr>
                <w:sz w:val="22"/>
                <w:szCs w:val="22"/>
              </w:rPr>
              <w:lastRenderedPageBreak/>
              <w:t>комплектности документов и полноты сведений в заяв</w:t>
            </w:r>
            <w:r>
              <w:rPr>
                <w:sz w:val="22"/>
                <w:szCs w:val="22"/>
              </w:rPr>
              <w:t>лении</w:t>
            </w:r>
          </w:p>
        </w:tc>
      </w:tr>
      <w:tr w:rsidR="00A74A7C" w:rsidRPr="0082755A" w:rsidTr="00A74A7C">
        <w:trPr>
          <w:trHeight w:val="14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запроса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2126" w:type="dxa"/>
            <w:vMerge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6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2126" w:type="dxa"/>
            <w:vMerge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24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9B0E48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на осуществление допуска в эксплуатацию прибора учета</w:t>
            </w:r>
          </w:p>
        </w:tc>
        <w:tc>
          <w:tcPr>
            <w:tcW w:w="2126" w:type="dxa"/>
            <w:vMerge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6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заявления на оборудование точки поставки приборами учета</w:t>
            </w:r>
          </w:p>
        </w:tc>
        <w:tc>
          <w:tcPr>
            <w:tcW w:w="2126" w:type="dxa"/>
            <w:vMerge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64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1.2.10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на установку, замену и (или) эксплуатацию приборов учета</w:t>
            </w:r>
          </w:p>
        </w:tc>
        <w:tc>
          <w:tcPr>
            <w:tcW w:w="2126" w:type="dxa"/>
            <w:vMerge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center"/>
              <w:rPr>
                <w:position w:val="-6"/>
                <w:sz w:val="22"/>
                <w:szCs w:val="22"/>
              </w:rPr>
            </w:pPr>
          </w:p>
        </w:tc>
      </w:tr>
      <w:tr w:rsidR="00A74A7C" w:rsidRPr="0082755A" w:rsidTr="00A74A7C">
        <w:trPr>
          <w:trHeight w:val="567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 w:rsidRPr="00D360DE">
              <w:rPr>
                <w:position w:val="-6"/>
                <w:sz w:val="22"/>
                <w:szCs w:val="22"/>
              </w:rPr>
              <w:t>1.3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A74A7C" w:rsidRPr="00D360DE" w:rsidRDefault="00A74A7C" w:rsidP="00F7683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position w:val="-6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прием сообщений о бездоговорном/безучетном потреблении электрической энергии, о хищении объектов электросетевого хозяйства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15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autoSpaceDE w:val="0"/>
              <w:autoSpaceDN w:val="0"/>
              <w:adjustRightInd w:val="0"/>
              <w:ind w:firstLine="3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Прием показаний </w:t>
            </w:r>
            <w:r w:rsidRPr="00BA64DE">
              <w:t>приборов учета электрической энергии</w:t>
            </w:r>
          </w:p>
        </w:tc>
        <w:tc>
          <w:tcPr>
            <w:tcW w:w="2126" w:type="dxa"/>
          </w:tcPr>
          <w:p w:rsidR="00A74A7C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sz w:val="22"/>
                <w:szCs w:val="22"/>
              </w:rPr>
              <w:t>Предоставление справочной информации о деятельности сетевой организации по вопросам оказания услуг сетевой организации, в том числе предоставление типовых форм документов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 w:rsidRPr="00D360DE">
              <w:rPr>
                <w:sz w:val="22"/>
                <w:szCs w:val="22"/>
              </w:rPr>
              <w:t xml:space="preserve">Предоставление консультаций по вопросам оказания услуг сетевой организации </w:t>
            </w:r>
          </w:p>
        </w:tc>
        <w:tc>
          <w:tcPr>
            <w:tcW w:w="2126" w:type="dxa"/>
          </w:tcPr>
          <w:p w:rsidR="00A74A7C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посещение. В случае отсутствия информации у сотрудника, осуществляющего очный приём, для предоставления консультации, сотрудник регистрирует письменное обращение, ответ на которое предоставляется в течение 30 дней.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</w:t>
            </w:r>
            <w:r w:rsidRPr="00FF6A79">
              <w:rPr>
                <w:sz w:val="22"/>
                <w:szCs w:val="22"/>
              </w:rPr>
              <w:t xml:space="preserve">о статусе исполнения </w:t>
            </w:r>
            <w:r>
              <w:rPr>
                <w:sz w:val="22"/>
                <w:szCs w:val="22"/>
              </w:rPr>
              <w:t xml:space="preserve">заявки на оказание услуг (процесса), </w:t>
            </w:r>
            <w:r w:rsidRPr="00FF6A79">
              <w:rPr>
                <w:sz w:val="22"/>
                <w:szCs w:val="22"/>
              </w:rPr>
              <w:t>договора оказания услуг</w:t>
            </w:r>
            <w:r>
              <w:rPr>
                <w:sz w:val="22"/>
                <w:szCs w:val="22"/>
              </w:rPr>
              <w:t>, рассмотрения обращения, содержащего жалобу</w:t>
            </w:r>
          </w:p>
        </w:tc>
        <w:tc>
          <w:tcPr>
            <w:tcW w:w="2126" w:type="dxa"/>
          </w:tcPr>
          <w:p w:rsidR="00A74A7C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 w:rsidRPr="00D360DE">
              <w:rPr>
                <w:sz w:val="22"/>
                <w:szCs w:val="22"/>
              </w:rPr>
              <w:t>Выдача документов потребителям, в том числе договоров на оказание услуг, квитанций, счетов-фактур на оплату услуг, документов по результатам оказания услуг (актов)</w:t>
            </w:r>
            <w:r>
              <w:rPr>
                <w:sz w:val="22"/>
                <w:szCs w:val="22"/>
              </w:rPr>
              <w:t>, актов безучетного/бездоговорного потребления электрической энергии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A74A7C" w:rsidRPr="0082755A" w:rsidTr="00A74A7C">
        <w:trPr>
          <w:trHeight w:val="332"/>
        </w:trPr>
        <w:tc>
          <w:tcPr>
            <w:tcW w:w="851" w:type="dxa"/>
            <w:vAlign w:val="center"/>
          </w:tcPr>
          <w:p w:rsidR="00A74A7C" w:rsidRPr="00D360DE" w:rsidDel="00B938FF" w:rsidRDefault="00A74A7C" w:rsidP="00F76830">
            <w:pPr>
              <w:pStyle w:val="ae"/>
              <w:keepNext w:val="0"/>
              <w:tabs>
                <w:tab w:val="left" w:pos="34"/>
              </w:tabs>
              <w:suppressAutoHyphens/>
              <w:ind w:left="34"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о </w:t>
            </w:r>
            <w:r w:rsidRPr="00FF6A79">
              <w:rPr>
                <w:sz w:val="22"/>
                <w:szCs w:val="22"/>
              </w:rPr>
              <w:t>причин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и срок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плановых перерывов передачи электрической энергии, причин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несоблюдения требований к параметрам ее качества, а также дат</w:t>
            </w:r>
            <w:r>
              <w:rPr>
                <w:sz w:val="22"/>
                <w:szCs w:val="22"/>
              </w:rPr>
              <w:t>е</w:t>
            </w:r>
            <w:r w:rsidRPr="00FF6A79">
              <w:rPr>
                <w:sz w:val="22"/>
                <w:szCs w:val="22"/>
              </w:rPr>
              <w:t xml:space="preserve"> и врем</w:t>
            </w:r>
            <w:r>
              <w:rPr>
                <w:sz w:val="22"/>
                <w:szCs w:val="22"/>
              </w:rPr>
              <w:t>ени</w:t>
            </w:r>
            <w:r w:rsidRPr="00FF6A79">
              <w:rPr>
                <w:sz w:val="22"/>
                <w:szCs w:val="22"/>
              </w:rPr>
              <w:t xml:space="preserve"> восстановления передачи электрической энергии,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2126" w:type="dxa"/>
          </w:tcPr>
          <w:p w:rsidR="00A74A7C" w:rsidRPr="00FF6A79" w:rsidRDefault="00A74A7C" w:rsidP="00F76830">
            <w:pPr>
              <w:pStyle w:val="ae"/>
              <w:keepNext w:val="0"/>
              <w:suppressAutoHyphens/>
              <w:contextualSpacing/>
              <w:rPr>
                <w:position w:val="-6"/>
                <w:sz w:val="22"/>
                <w:szCs w:val="22"/>
              </w:rPr>
            </w:pPr>
            <w:r w:rsidRPr="00FF6A79">
              <w:rPr>
                <w:position w:val="-6"/>
                <w:sz w:val="22"/>
                <w:szCs w:val="22"/>
              </w:rPr>
              <w:t xml:space="preserve">за одно посещение. При отсутствии информации у сотрудника на момент входящего посещения, сотрудник предоставляет 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</w:t>
            </w:r>
            <w:r w:rsidRPr="00FF6A79">
              <w:rPr>
                <w:position w:val="-6"/>
                <w:sz w:val="22"/>
                <w:szCs w:val="22"/>
              </w:rPr>
              <w:lastRenderedPageBreak/>
              <w:t>сотрудник предлагает потребителю направить в сетевую организацию письменное обращение, по форме электронного документа, или оформить обращение на типовом бланке при посещении</w:t>
            </w:r>
            <w:r>
              <w:rPr>
                <w:position w:val="-6"/>
                <w:sz w:val="22"/>
                <w:szCs w:val="22"/>
              </w:rPr>
              <w:t>,</w:t>
            </w:r>
            <w:r w:rsidRPr="00FF6A79">
              <w:rPr>
                <w:position w:val="-6"/>
                <w:sz w:val="22"/>
                <w:szCs w:val="22"/>
              </w:rPr>
              <w:t xml:space="preserve"> </w:t>
            </w:r>
            <w:r>
              <w:rPr>
                <w:position w:val="-6"/>
                <w:sz w:val="22"/>
                <w:szCs w:val="22"/>
              </w:rPr>
              <w:t>ответ предоставляется в течении 30 дней</w:t>
            </w:r>
          </w:p>
        </w:tc>
      </w:tr>
      <w:tr w:rsidR="00A74A7C" w:rsidRPr="0082755A" w:rsidTr="00A74A7C">
        <w:trPr>
          <w:trHeight w:val="64"/>
        </w:trPr>
        <w:tc>
          <w:tcPr>
            <w:tcW w:w="851" w:type="dxa"/>
            <w:vAlign w:val="center"/>
          </w:tcPr>
          <w:p w:rsidR="00A74A7C" w:rsidRPr="00BF02EB" w:rsidRDefault="00A74A7C" w:rsidP="00F76830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A74A7C" w:rsidRPr="00D360DE" w:rsidRDefault="00A74A7C" w:rsidP="00364655">
            <w:pPr>
              <w:pStyle w:val="ae"/>
              <w:keepNext w:val="0"/>
              <w:suppressAutoHyphens/>
              <w:ind w:firstLine="32"/>
              <w:contextualSpacing/>
              <w:rPr>
                <w:sz w:val="22"/>
                <w:szCs w:val="22"/>
              </w:rPr>
            </w:pPr>
            <w:r w:rsidRPr="00BF02EB">
              <w:rPr>
                <w:sz w:val="22"/>
                <w:szCs w:val="22"/>
              </w:rPr>
              <w:t>Прием платежей за оказание услуг</w:t>
            </w:r>
            <w:r>
              <w:rPr>
                <w:sz w:val="22"/>
                <w:szCs w:val="22"/>
              </w:rPr>
              <w:t xml:space="preserve"> (в бухгалтерии предприятия)</w:t>
            </w:r>
          </w:p>
        </w:tc>
        <w:tc>
          <w:tcPr>
            <w:tcW w:w="2126" w:type="dxa"/>
          </w:tcPr>
          <w:p w:rsidR="00A74A7C" w:rsidRPr="00D360DE" w:rsidRDefault="00A74A7C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CE5DFA" w:rsidRPr="0082755A" w:rsidTr="00A74A7C">
        <w:trPr>
          <w:trHeight w:val="64"/>
        </w:trPr>
        <w:tc>
          <w:tcPr>
            <w:tcW w:w="851" w:type="dxa"/>
            <w:vAlign w:val="center"/>
          </w:tcPr>
          <w:p w:rsidR="00CE5DFA" w:rsidRDefault="00CE5DFA" w:rsidP="00CE5DFA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CE5DFA" w:rsidRPr="00BF02EB" w:rsidRDefault="00CE5DFA" w:rsidP="00CE5DFA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индивидуального логина и пароля для доступа в личный кабинет потребителя.</w:t>
            </w:r>
          </w:p>
        </w:tc>
        <w:tc>
          <w:tcPr>
            <w:tcW w:w="2126" w:type="dxa"/>
          </w:tcPr>
          <w:p w:rsidR="00CE5DFA" w:rsidRPr="00D360DE" w:rsidRDefault="00CE5DFA" w:rsidP="00CE5DFA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  <w:tr w:rsidR="00CE5DFA" w:rsidRPr="0082755A" w:rsidTr="00A74A7C">
        <w:trPr>
          <w:trHeight w:val="323"/>
        </w:trPr>
        <w:tc>
          <w:tcPr>
            <w:tcW w:w="851" w:type="dxa"/>
            <w:vAlign w:val="center"/>
          </w:tcPr>
          <w:p w:rsidR="00CE5DFA" w:rsidRPr="00D360DE" w:rsidRDefault="00CE5DFA" w:rsidP="00CE5DFA">
            <w:pPr>
              <w:pStyle w:val="ae"/>
              <w:keepNext w:val="0"/>
              <w:tabs>
                <w:tab w:val="left" w:pos="34"/>
              </w:tabs>
              <w:suppressAutoHyphens/>
              <w:ind w:right="-108"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CE5DFA" w:rsidRPr="00D360DE" w:rsidRDefault="00CE5DFA" w:rsidP="00CE5DFA">
            <w:pPr>
              <w:pStyle w:val="ae"/>
              <w:keepNext w:val="0"/>
              <w:suppressAutoHyphens/>
              <w:contextualSpacing/>
              <w:rPr>
                <w:sz w:val="22"/>
                <w:szCs w:val="22"/>
              </w:rPr>
            </w:pPr>
            <w:r w:rsidRPr="00D360DE">
              <w:rPr>
                <w:bCs/>
                <w:sz w:val="22"/>
                <w:szCs w:val="22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26" w:type="dxa"/>
          </w:tcPr>
          <w:p w:rsidR="00CE5DFA" w:rsidRPr="00D360DE" w:rsidRDefault="00CE5DFA" w:rsidP="00CE5DFA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за одно посещение</w:t>
            </w:r>
          </w:p>
        </w:tc>
      </w:tr>
    </w:tbl>
    <w:p w:rsidR="00A80A17" w:rsidRDefault="00A80A17" w:rsidP="00F76830">
      <w:pPr>
        <w:tabs>
          <w:tab w:val="left" w:pos="1134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80A17" w:rsidRPr="00D55A2A" w:rsidTr="00346D6A">
        <w:tc>
          <w:tcPr>
            <w:tcW w:w="5210" w:type="dxa"/>
            <w:shd w:val="clear" w:color="auto" w:fill="auto"/>
          </w:tcPr>
          <w:p w:rsidR="00A80A17" w:rsidRPr="00D55A2A" w:rsidRDefault="00A80A17" w:rsidP="00F7683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A80A17" w:rsidRPr="00D55A2A" w:rsidRDefault="00A80A17" w:rsidP="00F7683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4643F" w:rsidRDefault="0044643F" w:rsidP="00F7683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643F" w:rsidRDefault="0044643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0A17" w:rsidRPr="002C791A" w:rsidRDefault="00364655" w:rsidP="00F7683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</w:t>
      </w:r>
      <w:r w:rsidR="00A80A17" w:rsidRPr="002C791A">
        <w:rPr>
          <w:b/>
          <w:sz w:val="32"/>
          <w:szCs w:val="32"/>
        </w:rPr>
        <w:t xml:space="preserve">слуги (процессы) заочного обслуживания </w:t>
      </w:r>
    </w:p>
    <w:p w:rsidR="00A80A17" w:rsidRPr="00376002" w:rsidRDefault="00A80A17" w:rsidP="00F7683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C791A">
        <w:rPr>
          <w:b/>
          <w:sz w:val="32"/>
          <w:szCs w:val="32"/>
        </w:rPr>
        <w:t>потребителей сетевых организаций по телефону</w:t>
      </w:r>
    </w:p>
    <w:p w:rsidR="00A80A17" w:rsidRDefault="00A80A17" w:rsidP="00F76830">
      <w:pPr>
        <w:tabs>
          <w:tab w:val="num" w:pos="1134"/>
        </w:tabs>
        <w:autoSpaceDE w:val="0"/>
        <w:autoSpaceDN w:val="0"/>
        <w:adjustRightInd w:val="0"/>
        <w:spacing w:after="120"/>
        <w:jc w:val="both"/>
      </w:pPr>
    </w:p>
    <w:tbl>
      <w:tblPr>
        <w:tblW w:w="10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589"/>
        <w:gridCol w:w="2018"/>
        <w:gridCol w:w="1907"/>
      </w:tblGrid>
      <w:tr w:rsidR="00364655" w:rsidRPr="0082755A" w:rsidTr="00A74A7C">
        <w:trPr>
          <w:trHeight w:val="455"/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364655" w:rsidRPr="00D360DE" w:rsidRDefault="00364655" w:rsidP="0038216F">
            <w:pPr>
              <w:pStyle w:val="ae"/>
              <w:keepNext w:val="0"/>
              <w:suppressAutoHyphens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5589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364655" w:rsidRPr="00D360DE" w:rsidRDefault="00364655" w:rsidP="0038216F">
            <w:pPr>
              <w:pStyle w:val="ae"/>
              <w:keepNext w:val="0"/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Содержание/Условия этапа </w:t>
            </w:r>
          </w:p>
        </w:tc>
        <w:tc>
          <w:tcPr>
            <w:tcW w:w="20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364655" w:rsidRPr="0082755A" w:rsidRDefault="00364655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Канал телефонной коммуникации</w:t>
            </w:r>
          </w:p>
        </w:tc>
        <w:tc>
          <w:tcPr>
            <w:tcW w:w="1907" w:type="dxa"/>
            <w:tcBorders>
              <w:bottom w:val="double" w:sz="4" w:space="0" w:color="auto"/>
            </w:tcBorders>
          </w:tcPr>
          <w:p w:rsidR="00364655" w:rsidRDefault="00364655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A80A17" w:rsidRPr="0082755A" w:rsidTr="00A74A7C">
        <w:trPr>
          <w:trHeight w:val="358"/>
        </w:trPr>
        <w:tc>
          <w:tcPr>
            <w:tcW w:w="649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</w:t>
            </w:r>
          </w:p>
        </w:tc>
        <w:tc>
          <w:tcPr>
            <w:tcW w:w="5589" w:type="dxa"/>
            <w:shd w:val="clear" w:color="auto" w:fill="auto"/>
            <w:noWrap/>
            <w:vAlign w:val="center"/>
            <w:hideMark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 xml:space="preserve"> с запросом справочной информации и предоставление ответа потребителю по вопросам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t>при телефонном вызове потребителя</w:t>
            </w:r>
          </w:p>
        </w:tc>
      </w:tr>
      <w:tr w:rsidR="00A80A17" w:rsidRPr="0082755A" w:rsidTr="00A74A7C">
        <w:trPr>
          <w:trHeight w:val="129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1.1</w:t>
            </w:r>
          </w:p>
        </w:tc>
        <w:tc>
          <w:tcPr>
            <w:tcW w:w="5589" w:type="dxa"/>
            <w:shd w:val="clear" w:color="auto" w:fill="auto"/>
            <w:noWrap/>
            <w:vAlign w:val="center"/>
            <w:hideMark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 xml:space="preserve">- </w:t>
            </w:r>
            <w:r w:rsidRPr="00BF634C">
              <w:rPr>
                <w:position w:val="-6"/>
                <w:sz w:val="22"/>
                <w:szCs w:val="22"/>
              </w:rPr>
              <w:t>осуществления технологического присоединения</w:t>
            </w:r>
          </w:p>
        </w:tc>
        <w:tc>
          <w:tcPr>
            <w:tcW w:w="2018" w:type="dxa"/>
            <w:vMerge w:val="restart"/>
            <w:shd w:val="clear" w:color="auto" w:fill="auto"/>
            <w:noWrap/>
            <w:vAlign w:val="center"/>
          </w:tcPr>
          <w:p w:rsidR="00A80A17" w:rsidRDefault="002201DC" w:rsidP="00F76830">
            <w:pPr>
              <w:pStyle w:val="ae"/>
              <w:keepNext w:val="0"/>
              <w:suppressAutoHyphens/>
              <w:jc w:val="center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2201DC" w:rsidRDefault="002201DC" w:rsidP="00F76830">
            <w:pPr>
              <w:pStyle w:val="ae"/>
              <w:keepNext w:val="0"/>
              <w:suppressAutoHyphens/>
              <w:jc w:val="center"/>
              <w:rPr>
                <w:position w:val="-6"/>
                <w:sz w:val="22"/>
                <w:szCs w:val="22"/>
              </w:rPr>
            </w:pPr>
          </w:p>
          <w:p w:rsidR="002201DC" w:rsidRPr="0082755A" w:rsidRDefault="002201DC" w:rsidP="00F76830">
            <w:pPr>
              <w:pStyle w:val="ae"/>
              <w:keepNext w:val="0"/>
              <w:suppressAutoHyphens/>
              <w:jc w:val="center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129"/>
        </w:trPr>
        <w:tc>
          <w:tcPr>
            <w:tcW w:w="649" w:type="dxa"/>
          </w:tcPr>
          <w:p w:rsidR="00A80A17" w:rsidRPr="00BF634C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1.2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BF634C">
              <w:rPr>
                <w:position w:val="-6"/>
                <w:sz w:val="22"/>
                <w:szCs w:val="22"/>
              </w:rPr>
              <w:t>- оказания услуг по передаче электрической энергии</w:t>
            </w:r>
          </w:p>
        </w:tc>
        <w:tc>
          <w:tcPr>
            <w:tcW w:w="2018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129"/>
        </w:trPr>
        <w:tc>
          <w:tcPr>
            <w:tcW w:w="649" w:type="dxa"/>
          </w:tcPr>
          <w:p w:rsidR="00A80A17" w:rsidRPr="00BF634C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1.3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BF634C">
              <w:rPr>
                <w:position w:val="-6"/>
                <w:sz w:val="22"/>
                <w:szCs w:val="22"/>
              </w:rPr>
              <w:t>- организации учета электрической энергии</w:t>
            </w:r>
          </w:p>
        </w:tc>
        <w:tc>
          <w:tcPr>
            <w:tcW w:w="2018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129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1.4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- обслуживания потребителей</w:t>
            </w:r>
          </w:p>
        </w:tc>
        <w:tc>
          <w:tcPr>
            <w:tcW w:w="2018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202"/>
        </w:trPr>
        <w:tc>
          <w:tcPr>
            <w:tcW w:w="649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1.5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 xml:space="preserve">- контактная информация </w:t>
            </w:r>
            <w:r>
              <w:rPr>
                <w:position w:val="-6"/>
                <w:sz w:val="22"/>
                <w:szCs w:val="22"/>
              </w:rPr>
              <w:t xml:space="preserve">сетевой организации и организаций, </w:t>
            </w:r>
            <w:r w:rsidRPr="00BF634C">
              <w:rPr>
                <w:position w:val="-6"/>
                <w:sz w:val="22"/>
                <w:szCs w:val="22"/>
              </w:rPr>
              <w:t>работающих в сфере энергетики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3716"/>
        </w:trPr>
        <w:tc>
          <w:tcPr>
            <w:tcW w:w="649" w:type="dxa"/>
            <w:tcBorders>
              <w:right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 xml:space="preserve"> с запросом консультаций и предоставление ответа потребителю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 xml:space="preserve">при телефонном вызове потребителя. При отсутствии информации у оператора на момент входящего звонка потребителя, оператор предоставляет ответ потребителю не позднее </w:t>
            </w:r>
            <w:r w:rsidRPr="008B72B9">
              <w:t>4 часов</w:t>
            </w:r>
            <w:r>
              <w:t xml:space="preserve"> с момента регистрации обращения с запросом.</w:t>
            </w:r>
          </w:p>
        </w:tc>
      </w:tr>
      <w:tr w:rsidR="00A80A17" w:rsidRPr="0082755A" w:rsidTr="00A74A7C">
        <w:trPr>
          <w:trHeight w:val="202"/>
        </w:trPr>
        <w:tc>
          <w:tcPr>
            <w:tcW w:w="649" w:type="dxa"/>
            <w:tcBorders>
              <w:right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2C791A" w:rsidRDefault="00A80A17" w:rsidP="00F76830">
            <w:pPr>
              <w:autoSpaceDE w:val="0"/>
              <w:autoSpaceDN w:val="0"/>
              <w:adjustRightInd w:val="0"/>
              <w:ind w:firstLine="32"/>
              <w:contextualSpacing/>
              <w:jc w:val="both"/>
              <w:rPr>
                <w:rFonts w:eastAsia="Calibri"/>
                <w:lang w:eastAsia="en-US"/>
              </w:rPr>
            </w:pPr>
            <w:r w:rsidRPr="002C791A">
              <w:rPr>
                <w:rFonts w:eastAsia="Calibri"/>
                <w:sz w:val="22"/>
                <w:szCs w:val="22"/>
                <w:lang w:eastAsia="en-US"/>
              </w:rPr>
              <w:t xml:space="preserve">Прием показаний </w:t>
            </w:r>
            <w:r w:rsidRPr="002C791A">
              <w:rPr>
                <w:sz w:val="22"/>
                <w:szCs w:val="22"/>
              </w:rPr>
              <w:t>приборов учета электрической энергии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17" w:rsidRDefault="00A80A17" w:rsidP="00F76830">
            <w:pPr>
              <w:pStyle w:val="ae"/>
              <w:suppressAutoHyphens/>
              <w:jc w:val="left"/>
            </w:pPr>
            <w:r>
              <w:t>при телефонном вызове потребителя</w:t>
            </w:r>
          </w:p>
        </w:tc>
      </w:tr>
      <w:tr w:rsidR="00A80A17" w:rsidRPr="0082755A" w:rsidTr="00A74A7C">
        <w:trPr>
          <w:trHeight w:val="202"/>
        </w:trPr>
        <w:tc>
          <w:tcPr>
            <w:tcW w:w="649" w:type="dxa"/>
            <w:tcBorders>
              <w:right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 xml:space="preserve"> с сообщением о </w:t>
            </w:r>
            <w:r w:rsidRPr="00410C8F">
              <w:rPr>
                <w:position w:val="-6"/>
                <w:sz w:val="22"/>
                <w:szCs w:val="22"/>
              </w:rPr>
              <w:t>бездоговорном</w:t>
            </w:r>
            <w:r>
              <w:rPr>
                <w:position w:val="-6"/>
                <w:sz w:val="22"/>
                <w:szCs w:val="22"/>
              </w:rPr>
              <w:t xml:space="preserve"> и </w:t>
            </w:r>
            <w:r w:rsidRPr="00410C8F">
              <w:rPr>
                <w:position w:val="-6"/>
                <w:sz w:val="22"/>
                <w:szCs w:val="22"/>
              </w:rPr>
              <w:t>безучетном потреблении электрической энергии</w:t>
            </w:r>
            <w:r>
              <w:rPr>
                <w:position w:val="-6"/>
                <w:sz w:val="22"/>
                <w:szCs w:val="22"/>
              </w:rPr>
              <w:t>, а так же о х</w:t>
            </w:r>
            <w:r w:rsidRPr="00410C8F">
              <w:rPr>
                <w:position w:val="-6"/>
                <w:sz w:val="22"/>
                <w:szCs w:val="22"/>
              </w:rPr>
              <w:t>ищени</w:t>
            </w:r>
            <w:r>
              <w:rPr>
                <w:position w:val="-6"/>
                <w:sz w:val="22"/>
                <w:szCs w:val="22"/>
              </w:rPr>
              <w:t>и</w:t>
            </w:r>
            <w:r w:rsidRPr="00410C8F">
              <w:rPr>
                <w:position w:val="-6"/>
                <w:sz w:val="22"/>
                <w:szCs w:val="22"/>
              </w:rPr>
              <w:t xml:space="preserve"> объектов электросетевого хозяйства</w:t>
            </w:r>
            <w:r>
              <w:rPr>
                <w:position w:val="-6"/>
                <w:sz w:val="22"/>
                <w:szCs w:val="22"/>
              </w:rPr>
              <w:t xml:space="preserve"> сетевой организации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hanging="32"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 xml:space="preserve"> с сообщением о </w:t>
            </w:r>
            <w:r w:rsidRPr="00BF634C">
              <w:rPr>
                <w:position w:val="-6"/>
                <w:sz w:val="22"/>
                <w:szCs w:val="22"/>
              </w:rPr>
              <w:t>несоответстви</w:t>
            </w:r>
            <w:r>
              <w:rPr>
                <w:position w:val="-6"/>
                <w:sz w:val="22"/>
                <w:szCs w:val="22"/>
              </w:rPr>
              <w:t>и</w:t>
            </w:r>
            <w:r w:rsidRPr="00BF634C">
              <w:rPr>
                <w:position w:val="-6"/>
                <w:sz w:val="22"/>
                <w:szCs w:val="22"/>
              </w:rPr>
              <w:t xml:space="preserve"> качества электрической энергии техническим регламентам и иным обязательным требованиям, перерывов, прекращения передачи электрической энергии</w:t>
            </w:r>
            <w:r>
              <w:rPr>
                <w:position w:val="-6"/>
                <w:sz w:val="22"/>
                <w:szCs w:val="22"/>
              </w:rPr>
              <w:t xml:space="preserve">. Передача указанных сообщений оперативному персоналу сетевой организации </w:t>
            </w:r>
            <w:r w:rsidRPr="002C791A">
              <w:rPr>
                <w:position w:val="-6"/>
                <w:sz w:val="22"/>
                <w:szCs w:val="22"/>
              </w:rPr>
              <w:t>(при         необходимости)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0A17" w:rsidRDefault="002201DC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2201DC" w:rsidRPr="0082755A" w:rsidRDefault="002201DC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при телефонном вызове потребителя</w:t>
            </w: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5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hanging="32"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 xml:space="preserve"> с запросом информации о планируемых сроках</w:t>
            </w:r>
            <w:r w:rsidRPr="00F03750">
              <w:rPr>
                <w:position w:val="-6"/>
                <w:sz w:val="22"/>
                <w:szCs w:val="22"/>
              </w:rPr>
              <w:t xml:space="preserve"> восстановления передачи электрической энергии, обеспечения соответствия качества электрической энергии </w:t>
            </w:r>
            <w:r w:rsidRPr="00BF634C">
              <w:rPr>
                <w:position w:val="-6"/>
                <w:sz w:val="22"/>
                <w:szCs w:val="22"/>
              </w:rPr>
              <w:t>техническим регламентам и иным обязательным требованиям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2201DC" w:rsidRDefault="00A80A17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 xml:space="preserve"> </w:t>
            </w:r>
            <w:r w:rsidR="002201DC"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A80A17" w:rsidRDefault="00A80A17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 xml:space="preserve">при телефонном вызове потребителя. При отсутствии информации у оператора на момент входящего звонка потребителя, оператор предоставляет </w:t>
            </w:r>
            <w:r>
              <w:lastRenderedPageBreak/>
              <w:t xml:space="preserve">ответ потребителю не позднее </w:t>
            </w:r>
            <w:r w:rsidRPr="008B72B9">
              <w:t>4 часов</w:t>
            </w:r>
            <w:r>
              <w:t xml:space="preserve"> с момента регистрации обращения с запросом.</w:t>
            </w: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Pr="0082755A" w:rsidRDefault="00AE1CC5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lastRenderedPageBreak/>
              <w:t>6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 xml:space="preserve">Осуществление исходящих вызовов для уведомления потребителей </w:t>
            </w:r>
            <w:r w:rsidRPr="007E49BF">
              <w:rPr>
                <w:position w:val="-6"/>
                <w:sz w:val="22"/>
                <w:szCs w:val="22"/>
              </w:rPr>
              <w:t>об аварийных ситуациях в электрических сетях, ремонтных и профилактических работах</w:t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 w:rsidRPr="00F03750">
              <w:rPr>
                <w:position w:val="-6"/>
                <w:sz w:val="22"/>
                <w:szCs w:val="22"/>
              </w:rPr>
              <w:t>в порядке и сроки установленные договором</w:t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 w:rsidRPr="00F03750">
              <w:rPr>
                <w:position w:val="-6"/>
                <w:sz w:val="22"/>
                <w:szCs w:val="22"/>
              </w:rPr>
              <w:t>на услуги по передаче электрической энергии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2201DC" w:rsidRDefault="002201DC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t>при телефонном вызове сетевой организации</w:t>
            </w: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Pr="0082755A" w:rsidRDefault="0038216F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7</w:t>
            </w:r>
          </w:p>
        </w:tc>
        <w:tc>
          <w:tcPr>
            <w:tcW w:w="5589" w:type="dxa"/>
            <w:shd w:val="clear" w:color="auto" w:fill="auto"/>
            <w:noWrap/>
            <w:vAlign w:val="center"/>
            <w:hideMark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 xml:space="preserve">Осуществление исходящих вызовов для уведомления потребителей </w:t>
            </w:r>
            <w:r w:rsidRPr="007E13F4">
              <w:rPr>
                <w:position w:val="-6"/>
                <w:sz w:val="22"/>
                <w:szCs w:val="22"/>
              </w:rPr>
              <w:t xml:space="preserve">при осуществлении технологического присоединения, </w:t>
            </w:r>
            <w:r w:rsidRPr="00BF634C">
              <w:rPr>
                <w:position w:val="-6"/>
                <w:sz w:val="22"/>
                <w:szCs w:val="22"/>
              </w:rPr>
              <w:t>оказания услуг по передаче электрической энергии</w:t>
            </w:r>
            <w:r w:rsidRPr="007E13F4">
              <w:rPr>
                <w:position w:val="-6"/>
                <w:sz w:val="22"/>
                <w:szCs w:val="22"/>
              </w:rPr>
              <w:t xml:space="preserve"> и </w:t>
            </w:r>
            <w:r>
              <w:rPr>
                <w:position w:val="-6"/>
                <w:sz w:val="22"/>
                <w:szCs w:val="22"/>
              </w:rPr>
              <w:t>осуществлении коммерческого учета электрической энергии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2201DC" w:rsidRDefault="002201DC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t>при телефонном вызове сетевой организации</w:t>
            </w: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Default="0038216F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8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Прием, регистрация</w:t>
            </w:r>
            <w:r>
              <w:rPr>
                <w:position w:val="-6"/>
                <w:sz w:val="22"/>
                <w:szCs w:val="22"/>
              </w:rPr>
              <w:t>,</w:t>
            </w:r>
            <w:r w:rsidRPr="0082755A">
              <w:rPr>
                <w:position w:val="-6"/>
                <w:sz w:val="22"/>
                <w:szCs w:val="22"/>
              </w:rPr>
              <w:t xml:space="preserve"> обработка входящих вызовов потребителей</w:t>
            </w:r>
            <w:r>
              <w:rPr>
                <w:position w:val="-6"/>
                <w:sz w:val="22"/>
                <w:szCs w:val="22"/>
              </w:rPr>
              <w:t>, содержащих жалобу, и предоставление ответа потребителю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2201DC" w:rsidRDefault="002201DC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A80A17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</w:pPr>
            <w:r>
              <w:t xml:space="preserve">при телефонном вызове потребителя. При отсутствии информации у оператора на момент входящего звонка потребителя, оператор предоставляет ответ потребителю не позднее </w:t>
            </w:r>
            <w:r w:rsidRPr="008B72B9">
              <w:t>4 часов</w:t>
            </w:r>
            <w:r>
              <w:t xml:space="preserve"> с момента регистрации обращения с запросом. Если обращение содержит жалобу и изложенные факты требуют анализа материалов, то  оператор предлагает направить в </w:t>
            </w:r>
          </w:p>
          <w:p w:rsidR="00A80A17" w:rsidRDefault="00A80A17" w:rsidP="00F76830">
            <w:pPr>
              <w:pStyle w:val="ae"/>
              <w:keepNext w:val="0"/>
              <w:suppressAutoHyphens/>
            </w:pPr>
            <w:r>
              <w:t>сетевую организацию обращение в письменной форме или по форме электронного документа</w:t>
            </w:r>
          </w:p>
        </w:tc>
      </w:tr>
      <w:tr w:rsidR="00A80A17" w:rsidRPr="0082755A" w:rsidTr="00A74A7C">
        <w:trPr>
          <w:trHeight w:val="376"/>
        </w:trPr>
        <w:tc>
          <w:tcPr>
            <w:tcW w:w="649" w:type="dxa"/>
          </w:tcPr>
          <w:p w:rsidR="00A80A17" w:rsidRPr="007E13F4" w:rsidRDefault="0038216F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9</w:t>
            </w:r>
          </w:p>
        </w:tc>
        <w:tc>
          <w:tcPr>
            <w:tcW w:w="5589" w:type="dxa"/>
            <w:shd w:val="clear" w:color="auto" w:fill="auto"/>
            <w:noWrap/>
            <w:vAlign w:val="center"/>
            <w:hideMark/>
          </w:tcPr>
          <w:p w:rsidR="00A80A17" w:rsidRPr="007E13F4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7E13F4">
              <w:rPr>
                <w:position w:val="-6"/>
                <w:sz w:val="22"/>
                <w:szCs w:val="22"/>
              </w:rPr>
              <w:t xml:space="preserve">Информационное взаимодействие с оперативным персоналом сетевой организации при поступлении обращений по вопросам </w:t>
            </w:r>
            <w:r w:rsidRPr="00BF634C">
              <w:rPr>
                <w:position w:val="-6"/>
                <w:sz w:val="22"/>
                <w:szCs w:val="22"/>
              </w:rPr>
              <w:t>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</w:t>
            </w:r>
            <w:r w:rsidRPr="007E13F4">
              <w:rPr>
                <w:position w:val="-6"/>
                <w:sz w:val="22"/>
                <w:szCs w:val="22"/>
              </w:rPr>
              <w:t xml:space="preserve"> информации аварийных и плановых отключениях электроэнергии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2201DC" w:rsidRDefault="002201DC" w:rsidP="002201DC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A80A17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  <w:p w:rsidR="00CE5DFA" w:rsidRPr="0082755A" w:rsidRDefault="00CE5DFA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CE5DFA" w:rsidRPr="0082755A" w:rsidTr="00A74A7C">
        <w:trPr>
          <w:trHeight w:val="737"/>
        </w:trPr>
        <w:tc>
          <w:tcPr>
            <w:tcW w:w="649" w:type="dxa"/>
          </w:tcPr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CE5DFA" w:rsidRP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CE5DFA">
              <w:rPr>
                <w:color w:val="000000"/>
                <w:sz w:val="22"/>
                <w:szCs w:val="22"/>
              </w:rP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CE5DFA" w:rsidRDefault="00CE5DFA" w:rsidP="00CE5DFA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при телефонном вызове сетевой организации</w:t>
            </w:r>
          </w:p>
        </w:tc>
      </w:tr>
      <w:tr w:rsidR="00CE5DFA" w:rsidRPr="0082755A" w:rsidTr="00A74A7C">
        <w:trPr>
          <w:trHeight w:val="737"/>
        </w:trPr>
        <w:tc>
          <w:tcPr>
            <w:tcW w:w="649" w:type="dxa"/>
          </w:tcPr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11</w:t>
            </w:r>
          </w:p>
        </w:tc>
        <w:tc>
          <w:tcPr>
            <w:tcW w:w="5589" w:type="dxa"/>
            <w:shd w:val="clear" w:color="auto" w:fill="auto"/>
            <w:noWrap/>
            <w:vAlign w:val="center"/>
          </w:tcPr>
          <w:p w:rsidR="00CE5DFA" w:rsidRPr="007E13F4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4E08D0">
              <w:rPr>
                <w:position w:val="-6"/>
                <w:sz w:val="22"/>
                <w:szCs w:val="22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Диспетчерская служба</w:t>
            </w:r>
          </w:p>
          <w:p w:rsidR="00CE5DFA" w:rsidRDefault="00CE5DFA" w:rsidP="00CE5DFA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</w:tcPr>
          <w:p w:rsidR="00CE5DFA" w:rsidRDefault="00CE5DFA" w:rsidP="00CE5DFA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при телефонном вызове сетевой организации</w:t>
            </w:r>
          </w:p>
        </w:tc>
      </w:tr>
    </w:tbl>
    <w:p w:rsidR="00A80A17" w:rsidRPr="001125E1" w:rsidRDefault="00A80A17" w:rsidP="00F7683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80A17" w:rsidRPr="00026624" w:rsidTr="00346D6A">
        <w:tc>
          <w:tcPr>
            <w:tcW w:w="5210" w:type="dxa"/>
            <w:shd w:val="clear" w:color="auto" w:fill="auto"/>
          </w:tcPr>
          <w:p w:rsidR="00A80A17" w:rsidRPr="00026624" w:rsidRDefault="00A80A17" w:rsidP="00F7683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210" w:type="dxa"/>
            <w:shd w:val="clear" w:color="auto" w:fill="auto"/>
          </w:tcPr>
          <w:p w:rsidR="00A80A17" w:rsidRPr="00026624" w:rsidRDefault="00A80A17" w:rsidP="00F7683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A80A17" w:rsidRPr="00026624" w:rsidRDefault="0044643F" w:rsidP="00F7683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</w:t>
      </w:r>
      <w:r w:rsidR="00A80A17" w:rsidRPr="00026624">
        <w:rPr>
          <w:b/>
        </w:rPr>
        <w:t xml:space="preserve">слуги (процессы) заочного обслуживания </w:t>
      </w:r>
    </w:p>
    <w:p w:rsidR="00A80A17" w:rsidRPr="00026624" w:rsidRDefault="00A80A17" w:rsidP="00F76830">
      <w:pPr>
        <w:autoSpaceDE w:val="0"/>
        <w:autoSpaceDN w:val="0"/>
        <w:adjustRightInd w:val="0"/>
        <w:jc w:val="center"/>
        <w:rPr>
          <w:b/>
        </w:rPr>
      </w:pPr>
      <w:r w:rsidRPr="00026624">
        <w:rPr>
          <w:b/>
        </w:rPr>
        <w:t xml:space="preserve">потребителей в сети Интернет </w:t>
      </w:r>
    </w:p>
    <w:p w:rsidR="00A80A17" w:rsidRPr="00026624" w:rsidRDefault="00A80A17" w:rsidP="0035192B">
      <w:pPr>
        <w:autoSpaceDE w:val="0"/>
        <w:autoSpaceDN w:val="0"/>
        <w:adjustRightInd w:val="0"/>
        <w:jc w:val="both"/>
        <w:outlineLvl w:val="0"/>
      </w:pPr>
    </w:p>
    <w:tbl>
      <w:tblPr>
        <w:tblW w:w="101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414"/>
        <w:gridCol w:w="2159"/>
        <w:gridCol w:w="1907"/>
      </w:tblGrid>
      <w:tr w:rsidR="00C66D28" w:rsidRPr="0082755A" w:rsidTr="00CE5DFA">
        <w:trPr>
          <w:trHeight w:val="455"/>
        </w:trPr>
        <w:tc>
          <w:tcPr>
            <w:tcW w:w="649" w:type="dxa"/>
            <w:tcBorders>
              <w:bottom w:val="double" w:sz="4" w:space="0" w:color="auto"/>
            </w:tcBorders>
          </w:tcPr>
          <w:p w:rsidR="00C66D28" w:rsidRPr="00D360DE" w:rsidRDefault="00C66D28" w:rsidP="00552F7C">
            <w:pPr>
              <w:pStyle w:val="ae"/>
              <w:keepNext w:val="0"/>
              <w:suppressAutoHyphens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5414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C66D28" w:rsidRPr="00D360DE" w:rsidRDefault="00C66D28" w:rsidP="00552F7C">
            <w:pPr>
              <w:pStyle w:val="ae"/>
              <w:keepNext w:val="0"/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Содержание/Условия этапа </w:t>
            </w:r>
          </w:p>
        </w:tc>
        <w:tc>
          <w:tcPr>
            <w:tcW w:w="2159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C66D28" w:rsidRPr="0082755A" w:rsidRDefault="0035192B" w:rsidP="00552F7C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Интерактивный сервис</w:t>
            </w:r>
          </w:p>
        </w:tc>
        <w:tc>
          <w:tcPr>
            <w:tcW w:w="1907" w:type="dxa"/>
            <w:tcBorders>
              <w:bottom w:val="double" w:sz="4" w:space="0" w:color="auto"/>
            </w:tcBorders>
          </w:tcPr>
          <w:p w:rsidR="00C66D28" w:rsidRDefault="00C66D28" w:rsidP="00552F7C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  <w:noWrap/>
            <w:vAlign w:val="center"/>
            <w:hideMark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</w:t>
            </w:r>
            <w:r>
              <w:rPr>
                <w:position w:val="-6"/>
                <w:sz w:val="22"/>
                <w:szCs w:val="22"/>
              </w:rPr>
              <w:t xml:space="preserve"> обращений </w:t>
            </w:r>
            <w:r w:rsidRPr="0082755A">
              <w:rPr>
                <w:position w:val="-6"/>
                <w:sz w:val="22"/>
                <w:szCs w:val="22"/>
              </w:rPr>
              <w:t>потребителей</w:t>
            </w:r>
            <w:r>
              <w:rPr>
                <w:position w:val="-6"/>
                <w:sz w:val="22"/>
                <w:szCs w:val="22"/>
              </w:rPr>
              <w:t xml:space="preserve"> с запросом справочной информации через интерактивные электронные формы и предоставление ответа потребителю по вопросам</w:t>
            </w:r>
          </w:p>
        </w:tc>
        <w:tc>
          <w:tcPr>
            <w:tcW w:w="2159" w:type="dxa"/>
            <w:vMerge w:val="restart"/>
            <w:shd w:val="clear" w:color="auto" w:fill="auto"/>
            <w:noWrap/>
            <w:vAlign w:val="center"/>
          </w:tcPr>
          <w:p w:rsidR="00A80A17" w:rsidRPr="0082755A" w:rsidRDefault="00A80A17" w:rsidP="0038216F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 приемная</w:t>
            </w:r>
            <w:r w:rsidR="0038216F">
              <w:rPr>
                <w:position w:val="-6"/>
                <w:sz w:val="22"/>
                <w:szCs w:val="22"/>
              </w:rPr>
              <w:t>, 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vMerge w:val="restart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t>В течение 15 дней со дня отправления обращения</w:t>
            </w: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1.1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 xml:space="preserve">- </w:t>
            </w:r>
            <w:r w:rsidRPr="00BF634C">
              <w:rPr>
                <w:position w:val="-6"/>
                <w:sz w:val="22"/>
                <w:szCs w:val="22"/>
              </w:rPr>
              <w:t>осуществления технологического присоединения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1.2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BF634C">
              <w:rPr>
                <w:position w:val="-6"/>
                <w:sz w:val="22"/>
                <w:szCs w:val="22"/>
              </w:rPr>
              <w:t>- оказания услуг по передаче электрической энергии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1.3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BF634C">
              <w:rPr>
                <w:position w:val="-6"/>
                <w:sz w:val="22"/>
                <w:szCs w:val="22"/>
              </w:rPr>
              <w:t>- организации учета электрической энергии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1.4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- обслуживания потребителей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1.5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ind w:firstLine="284"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 xml:space="preserve">- контактная информация </w:t>
            </w:r>
            <w:r>
              <w:rPr>
                <w:position w:val="-6"/>
                <w:sz w:val="22"/>
                <w:szCs w:val="22"/>
              </w:rPr>
              <w:t xml:space="preserve">сетевой организации и организаций, </w:t>
            </w:r>
            <w:r w:rsidRPr="00BF634C">
              <w:rPr>
                <w:position w:val="-6"/>
                <w:sz w:val="22"/>
                <w:szCs w:val="22"/>
              </w:rPr>
              <w:t>работающих в сфере энергетики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</w:t>
            </w:r>
            <w:r>
              <w:rPr>
                <w:position w:val="-6"/>
                <w:sz w:val="22"/>
                <w:szCs w:val="22"/>
              </w:rPr>
              <w:t xml:space="preserve"> обращений </w:t>
            </w:r>
            <w:r w:rsidRPr="0082755A">
              <w:rPr>
                <w:position w:val="-6"/>
                <w:sz w:val="22"/>
                <w:szCs w:val="22"/>
              </w:rPr>
              <w:t>потребителей</w:t>
            </w:r>
            <w:r>
              <w:rPr>
                <w:position w:val="-6"/>
                <w:sz w:val="22"/>
                <w:szCs w:val="22"/>
              </w:rPr>
              <w:t xml:space="preserve"> с запросом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A80A17" w:rsidP="0038216F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 приемная</w:t>
            </w:r>
            <w:r w:rsidR="0038216F">
              <w:rPr>
                <w:position w:val="-6"/>
                <w:sz w:val="22"/>
                <w:szCs w:val="22"/>
              </w:rPr>
              <w:t>, 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7" w:rsidRPr="00B53E22" w:rsidRDefault="00A80A17" w:rsidP="00F76830">
            <w:pPr>
              <w:pStyle w:val="ae"/>
              <w:keepNext w:val="0"/>
              <w:suppressAutoHyphens/>
            </w:pPr>
            <w:r>
              <w:t>В течение 15 дней со дня отправления обращения</w:t>
            </w: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3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82755A">
              <w:rPr>
                <w:position w:val="-6"/>
                <w:sz w:val="22"/>
                <w:szCs w:val="22"/>
              </w:rPr>
              <w:t>Прием</w:t>
            </w:r>
            <w:r>
              <w:rPr>
                <w:position w:val="-6"/>
                <w:sz w:val="22"/>
                <w:szCs w:val="22"/>
              </w:rPr>
              <w:t xml:space="preserve"> жалоб </w:t>
            </w:r>
            <w:r w:rsidRPr="0082755A">
              <w:rPr>
                <w:position w:val="-6"/>
                <w:sz w:val="22"/>
                <w:szCs w:val="22"/>
              </w:rPr>
              <w:t>потребителей</w:t>
            </w:r>
            <w:r>
              <w:rPr>
                <w:position w:val="-6"/>
                <w:sz w:val="22"/>
                <w:szCs w:val="22"/>
              </w:rPr>
              <w:t xml:space="preserve"> через интерактивные электронные формы и предоставление ответа потребителю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0A17" w:rsidRDefault="0038216F" w:rsidP="0038216F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 приемная, электронная почта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</w:pPr>
            <w:r>
              <w:t xml:space="preserve">В течение 30 дней со дня отправления обращения </w:t>
            </w: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П</w:t>
            </w:r>
            <w:r w:rsidRPr="00D360DE">
              <w:rPr>
                <w:position w:val="-6"/>
                <w:sz w:val="22"/>
                <w:szCs w:val="22"/>
              </w:rPr>
              <w:t xml:space="preserve">рием заявки/заявления на оказание услуг </w:t>
            </w:r>
            <w:r>
              <w:rPr>
                <w:position w:val="-6"/>
                <w:sz w:val="22"/>
                <w:szCs w:val="22"/>
              </w:rPr>
              <w:t>через интерактивные электронные формы</w:t>
            </w:r>
            <w:r w:rsidRPr="00D360DE">
              <w:rPr>
                <w:position w:val="-6"/>
                <w:sz w:val="22"/>
                <w:szCs w:val="22"/>
              </w:rPr>
              <w:t>, в т</w:t>
            </w:r>
            <w:r>
              <w:rPr>
                <w:position w:val="-6"/>
                <w:sz w:val="22"/>
                <w:szCs w:val="22"/>
              </w:rPr>
              <w:t>.</w:t>
            </w:r>
            <w:r w:rsidRPr="00D360DE">
              <w:rPr>
                <w:position w:val="-6"/>
                <w:sz w:val="22"/>
                <w:szCs w:val="22"/>
              </w:rPr>
              <w:t>ч</w:t>
            </w:r>
            <w:r>
              <w:rPr>
                <w:position w:val="-6"/>
                <w:sz w:val="22"/>
                <w:szCs w:val="22"/>
              </w:rPr>
              <w:t>.:</w:t>
            </w:r>
          </w:p>
        </w:tc>
        <w:tc>
          <w:tcPr>
            <w:tcW w:w="2159" w:type="dxa"/>
            <w:vMerge w:val="restart"/>
            <w:shd w:val="clear" w:color="auto" w:fill="auto"/>
            <w:noWrap/>
            <w:vAlign w:val="center"/>
          </w:tcPr>
          <w:p w:rsidR="00A80A17" w:rsidRDefault="0038216F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  <w:p w:rsidR="0038216F" w:rsidRDefault="0038216F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A80A17" w:rsidRDefault="00A80A17" w:rsidP="00F76830">
            <w:pPr>
              <w:pStyle w:val="ae"/>
              <w:keepNext w:val="0"/>
              <w:suppressAutoHyphens/>
            </w:pPr>
            <w:r>
              <w:t xml:space="preserve">В течение 1 дня со дня отправления обращения, </w:t>
            </w:r>
            <w:r w:rsidRPr="00EA4D45">
              <w:t xml:space="preserve">в случае комплектности документов и полноты сведений в </w:t>
            </w:r>
            <w:r>
              <w:t>заявке/</w:t>
            </w:r>
            <w:r w:rsidRPr="00EA4D45">
              <w:t>заявлении</w:t>
            </w: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4.1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D360DE" w:rsidRDefault="00A80A17" w:rsidP="00F76830">
            <w:pPr>
              <w:autoSpaceDE w:val="0"/>
              <w:autoSpaceDN w:val="0"/>
              <w:adjustRightInd w:val="0"/>
              <w:ind w:firstLine="23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заявки на технологическое присоединение к электрическим сетям </w:t>
            </w:r>
            <w:r w:rsidRPr="005E5D1D">
              <w:rPr>
                <w:rFonts w:eastAsia="Calibri"/>
                <w:sz w:val="22"/>
                <w:szCs w:val="22"/>
                <w:lang w:eastAsia="en-US"/>
              </w:rPr>
              <w:t>классом напряжения до 10 кВ включительно</w:t>
            </w:r>
            <w:r w:rsidR="00A00A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00ABC" w:rsidRPr="00A00ABC">
              <w:rPr>
                <w:rFonts w:eastAsia="Calibri"/>
                <w:sz w:val="22"/>
                <w:szCs w:val="22"/>
                <w:lang w:eastAsia="en-US"/>
              </w:rPr>
              <w:t>для присоединения энергопринимающих устройств, максимальной мощностью до 15 кВт включительно (с учетом ранее присоединенных в данной точке присоединения энергопринимающих устройств)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358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4.2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9B0E48" w:rsidRDefault="00A80A17" w:rsidP="00F76830">
            <w:pPr>
              <w:autoSpaceDE w:val="0"/>
              <w:autoSpaceDN w:val="0"/>
              <w:adjustRightInd w:val="0"/>
              <w:ind w:firstLine="236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</w:pPr>
          </w:p>
        </w:tc>
      </w:tr>
      <w:tr w:rsidR="00A80A17" w:rsidRPr="0082755A" w:rsidTr="00CE5DFA">
        <w:trPr>
          <w:trHeight w:val="129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4.3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9B0E48" w:rsidRDefault="00A80A17" w:rsidP="00F76830">
            <w:pPr>
              <w:autoSpaceDE w:val="0"/>
              <w:autoSpaceDN w:val="0"/>
              <w:adjustRightInd w:val="0"/>
              <w:ind w:firstLine="236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на осуществление допуска в эксплуатацию прибора учета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CE5DFA">
        <w:trPr>
          <w:trHeight w:val="129"/>
        </w:trPr>
        <w:tc>
          <w:tcPr>
            <w:tcW w:w="649" w:type="dxa"/>
          </w:tcPr>
          <w:p w:rsidR="00A80A17" w:rsidRPr="00BF634C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4.4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D360DE" w:rsidRDefault="00A80A17" w:rsidP="00F76830">
            <w:pPr>
              <w:autoSpaceDE w:val="0"/>
              <w:autoSpaceDN w:val="0"/>
              <w:adjustRightInd w:val="0"/>
              <w:ind w:firstLine="236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заявления на оборудование точки поставки приборами учета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CE5DFA">
        <w:trPr>
          <w:trHeight w:val="129"/>
        </w:trPr>
        <w:tc>
          <w:tcPr>
            <w:tcW w:w="649" w:type="dxa"/>
          </w:tcPr>
          <w:p w:rsidR="00A80A17" w:rsidRPr="00BF634C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4.5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D360DE" w:rsidRDefault="00A80A17" w:rsidP="00F76830">
            <w:pPr>
              <w:autoSpaceDE w:val="0"/>
              <w:autoSpaceDN w:val="0"/>
              <w:adjustRightInd w:val="0"/>
              <w:ind w:firstLine="236"/>
              <w:contextualSpacing/>
              <w:jc w:val="both"/>
              <w:rPr>
                <w:rFonts w:eastAsia="Calibri"/>
                <w:lang w:eastAsia="en-US"/>
              </w:rPr>
            </w:pPr>
            <w:r w:rsidRPr="00D360DE">
              <w:rPr>
                <w:rFonts w:eastAsia="Calibri"/>
                <w:sz w:val="22"/>
                <w:szCs w:val="22"/>
                <w:lang w:eastAsia="en-US"/>
              </w:rPr>
              <w:t>заявки на установку, замену и (или) эксплуатацию приборов учета</w:t>
            </w:r>
          </w:p>
        </w:tc>
        <w:tc>
          <w:tcPr>
            <w:tcW w:w="2159" w:type="dxa"/>
            <w:vMerge/>
            <w:shd w:val="clear" w:color="auto" w:fill="auto"/>
            <w:noWrap/>
            <w:vAlign w:val="center"/>
          </w:tcPr>
          <w:p w:rsidR="00A80A17" w:rsidRPr="0082755A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</w:p>
        </w:tc>
      </w:tr>
      <w:tr w:rsidR="00A80A17" w:rsidRPr="0082755A" w:rsidTr="00CE5DFA">
        <w:trPr>
          <w:trHeight w:val="129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5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autoSpaceDE w:val="0"/>
              <w:autoSpaceDN w:val="0"/>
              <w:adjustRightInd w:val="0"/>
              <w:contextualSpacing/>
              <w:jc w:val="both"/>
              <w:rPr>
                <w:position w:val="-6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360DE">
              <w:rPr>
                <w:rFonts w:eastAsia="Calibri"/>
                <w:sz w:val="22"/>
                <w:szCs w:val="22"/>
                <w:lang w:eastAsia="en-US"/>
              </w:rPr>
              <w:t>рием сообщений о бездоговорном/безучетном потреблении электрической энергии, о хищении объектов электросетевого хозяйства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4D45">
              <w:rPr>
                <w:rFonts w:eastAsia="Calibri"/>
                <w:sz w:val="22"/>
                <w:szCs w:val="22"/>
                <w:lang w:eastAsia="en-US"/>
              </w:rPr>
              <w:t>через интерактивные электронные формы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A80A17" w:rsidRPr="0082755A" w:rsidRDefault="00CE5DFA" w:rsidP="0038216F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Интернет-</w:t>
            </w:r>
            <w:r w:rsidR="00A80A17">
              <w:rPr>
                <w:position w:val="-6"/>
                <w:sz w:val="22"/>
                <w:szCs w:val="22"/>
              </w:rPr>
              <w:t xml:space="preserve">приемная, </w:t>
            </w:r>
            <w:r w:rsidR="0038216F">
              <w:rPr>
                <w:position w:val="-6"/>
                <w:sz w:val="22"/>
                <w:szCs w:val="22"/>
              </w:rPr>
              <w:t>Электронная почта</w:t>
            </w:r>
            <w:r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В течение 1 дня со дня отправления обращения</w:t>
            </w:r>
          </w:p>
        </w:tc>
      </w:tr>
      <w:tr w:rsidR="00A80A17" w:rsidRPr="0082755A" w:rsidTr="00CE5DFA">
        <w:trPr>
          <w:trHeight w:val="760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6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 w:rsidR="00A80A17" w:rsidRPr="00BF634C" w:rsidRDefault="00A80A17" w:rsidP="00F76830">
            <w:pPr>
              <w:autoSpaceDE w:val="0"/>
              <w:autoSpaceDN w:val="0"/>
              <w:adjustRightInd w:val="0"/>
              <w:contextualSpacing/>
              <w:jc w:val="both"/>
              <w:rPr>
                <w:position w:val="-6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Прием показаний </w:t>
            </w:r>
            <w:r w:rsidRPr="00EA4D45">
              <w:rPr>
                <w:rFonts w:eastAsia="Calibri"/>
                <w:sz w:val="22"/>
                <w:szCs w:val="22"/>
                <w:lang w:eastAsia="en-US"/>
              </w:rPr>
              <w:t>приборов учета электрической энергии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A80A17" w:rsidRPr="0082755A" w:rsidRDefault="00C66D28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</w:p>
        </w:tc>
        <w:tc>
          <w:tcPr>
            <w:tcW w:w="1907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В течение 1 дня со дня отправления обращения</w:t>
            </w:r>
          </w:p>
        </w:tc>
      </w:tr>
      <w:tr w:rsidR="00A80A17" w:rsidRPr="0082755A" w:rsidTr="00CE5DFA">
        <w:trPr>
          <w:trHeight w:val="760"/>
        </w:trPr>
        <w:tc>
          <w:tcPr>
            <w:tcW w:w="649" w:type="dxa"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414" w:type="dxa"/>
            <w:shd w:val="clear" w:color="auto" w:fill="auto"/>
            <w:noWrap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Услуга</w:t>
            </w:r>
            <w:r w:rsidRPr="008275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(процесс)</w:t>
            </w:r>
            <w:r w:rsidRPr="0082755A">
              <w:rPr>
                <w:b/>
                <w:sz w:val="22"/>
                <w:szCs w:val="22"/>
              </w:rPr>
              <w:t xml:space="preserve"> заочного обслуживания </w:t>
            </w:r>
            <w:r>
              <w:rPr>
                <w:b/>
                <w:sz w:val="22"/>
                <w:szCs w:val="22"/>
              </w:rPr>
              <w:t>в сети Интернет</w:t>
            </w:r>
          </w:p>
        </w:tc>
        <w:tc>
          <w:tcPr>
            <w:tcW w:w="2159" w:type="dxa"/>
            <w:shd w:val="clear" w:color="auto" w:fill="auto"/>
            <w:noWrap/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Интерактивный сервис</w:t>
            </w:r>
          </w:p>
        </w:tc>
        <w:tc>
          <w:tcPr>
            <w:tcW w:w="1907" w:type="dxa"/>
          </w:tcPr>
          <w:p w:rsidR="00A80A17" w:rsidRDefault="00A80A17" w:rsidP="00F76830">
            <w:pPr>
              <w:pStyle w:val="ae"/>
              <w:keepNext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Pr="00667F64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 w:rsidRPr="00667F64">
              <w:rPr>
                <w:position w:val="-6"/>
                <w:sz w:val="22"/>
                <w:szCs w:val="22"/>
              </w:rPr>
              <w:t>7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667F64" w:rsidRDefault="00A80A17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 w:rsidRPr="00667F64">
              <w:rPr>
                <w:sz w:val="22"/>
                <w:szCs w:val="22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82755A" w:rsidRDefault="00C66D28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Pr="0082755A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t>В течение 1 дня со дня отправления обращения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Pr="00667F64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 w:rsidRPr="00667F64">
              <w:rPr>
                <w:position w:val="-6"/>
                <w:sz w:val="22"/>
                <w:szCs w:val="22"/>
              </w:rPr>
              <w:t>8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667F64" w:rsidRDefault="00A80A17" w:rsidP="00F76830">
            <w:pPr>
              <w:pStyle w:val="ae"/>
              <w:keepNext w:val="0"/>
              <w:suppressAutoHyphens/>
              <w:rPr>
                <w:sz w:val="22"/>
                <w:szCs w:val="22"/>
              </w:rPr>
            </w:pPr>
            <w:r w:rsidRPr="00667F64">
              <w:rPr>
                <w:sz w:val="22"/>
                <w:szCs w:val="22"/>
              </w:rPr>
              <w:t xml:space="preserve">Предоставление информации о статусе рассмотрения </w:t>
            </w:r>
            <w:r w:rsidRPr="00667F64">
              <w:rPr>
                <w:sz w:val="22"/>
                <w:szCs w:val="22"/>
              </w:rPr>
              <w:lastRenderedPageBreak/>
              <w:t>обращения, содержащего жалобу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B53E22" w:rsidRDefault="00A80A17" w:rsidP="00C66D28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lastRenderedPageBreak/>
              <w:t xml:space="preserve">Интернет приемная, </w:t>
            </w:r>
            <w:r w:rsidR="00C66D28">
              <w:rPr>
                <w:position w:val="-6"/>
                <w:sz w:val="22"/>
                <w:szCs w:val="22"/>
              </w:rPr>
              <w:lastRenderedPageBreak/>
              <w:t>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</w:pPr>
            <w:r>
              <w:lastRenderedPageBreak/>
              <w:t xml:space="preserve">В течение 1 дня со </w:t>
            </w:r>
            <w:r>
              <w:lastRenderedPageBreak/>
              <w:t>дня отправления обращения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Pr="00667F64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 w:rsidRPr="00667F64">
              <w:rPr>
                <w:position w:val="-6"/>
                <w:sz w:val="22"/>
                <w:szCs w:val="22"/>
              </w:rPr>
              <w:lastRenderedPageBreak/>
              <w:t>9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667F64" w:rsidRDefault="00A80A17" w:rsidP="00F76830">
            <w:pPr>
              <w:pStyle w:val="ae"/>
              <w:keepNext w:val="0"/>
              <w:suppressAutoHyphens/>
              <w:rPr>
                <w:sz w:val="22"/>
                <w:szCs w:val="22"/>
              </w:rPr>
            </w:pPr>
            <w:r w:rsidRPr="00667F64">
              <w:rPr>
                <w:sz w:val="22"/>
                <w:szCs w:val="22"/>
              </w:rPr>
              <w:t>Предоставление электронных копий документов потребителям по результатам оказания услуг (актов), актов безучетного/бездоговорного потребления электрической энергии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Default="00C66D28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  <w:r w:rsidR="00CE5DFA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</w:pPr>
            <w:r>
              <w:t>В течение 15 дней со дня отправления обращения</w:t>
            </w:r>
          </w:p>
        </w:tc>
      </w:tr>
      <w:tr w:rsidR="00CE5DFA" w:rsidRPr="0082755A" w:rsidTr="00CE5DFA">
        <w:trPr>
          <w:trHeight w:val="202"/>
        </w:trPr>
        <w:tc>
          <w:tcPr>
            <w:tcW w:w="649" w:type="dxa"/>
          </w:tcPr>
          <w:p w:rsidR="00CE5DFA" w:rsidRPr="00667F64" w:rsidRDefault="00CE5DFA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5DFA" w:rsidRPr="00667F64" w:rsidRDefault="00CE5DFA" w:rsidP="00F76830">
            <w:pPr>
              <w:pStyle w:val="ae"/>
              <w:keepNext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индивидуального </w:t>
            </w:r>
            <w:r w:rsidR="00CB787B">
              <w:rPr>
                <w:sz w:val="22"/>
                <w:szCs w:val="22"/>
              </w:rPr>
              <w:t>логина и пароля для доступа в личный кабинет потребителя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5DFA" w:rsidRDefault="00CB787B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Интернет-приемная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CE5DFA" w:rsidRDefault="00CB787B" w:rsidP="00F76830">
            <w:pPr>
              <w:pStyle w:val="ae"/>
              <w:keepNext w:val="0"/>
              <w:suppressAutoHyphens/>
              <w:jc w:val="left"/>
            </w:pPr>
            <w:r>
              <w:t>В тесение 1 дня со дня заполнения регистрационной формы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11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924E5F" w:rsidRDefault="00A80A17" w:rsidP="00F76830">
            <w:pPr>
              <w:pStyle w:val="ae"/>
              <w:keepNext w:val="0"/>
              <w:suppressAutoHyphens/>
              <w:ind w:firstLine="32"/>
              <w:contextualSpacing/>
              <w:rPr>
                <w:sz w:val="22"/>
                <w:szCs w:val="22"/>
              </w:rPr>
            </w:pPr>
            <w:r w:rsidRPr="00AB06D0">
              <w:rPr>
                <w:sz w:val="22"/>
                <w:szCs w:val="22"/>
              </w:rP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80A17" w:rsidRDefault="00CB787B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</w:pPr>
            <w:r>
              <w:t>При запросе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12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AB06D0" w:rsidRDefault="00A80A17" w:rsidP="00F76830">
            <w:pPr>
              <w:pStyle w:val="ae"/>
              <w:keepNext w:val="0"/>
              <w:suppressAutoHyphens/>
              <w:ind w:firstLine="3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r w:rsidRPr="00AB06D0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>а</w:t>
            </w:r>
            <w:r w:rsidRPr="00AB06D0">
              <w:rPr>
                <w:sz w:val="22"/>
                <w:szCs w:val="22"/>
              </w:rPr>
              <w:t xml:space="preserve"> на оплату услуг </w:t>
            </w:r>
            <w:r>
              <w:rPr>
                <w:sz w:val="22"/>
                <w:szCs w:val="22"/>
              </w:rPr>
              <w:t>(</w:t>
            </w:r>
            <w:r w:rsidRPr="00AB06D0">
              <w:rPr>
                <w:sz w:val="22"/>
                <w:szCs w:val="22"/>
              </w:rPr>
              <w:t xml:space="preserve">по технологическому присоединению </w:t>
            </w:r>
            <w:r>
              <w:rPr>
                <w:sz w:val="22"/>
                <w:szCs w:val="22"/>
              </w:rPr>
              <w:t xml:space="preserve">для </w:t>
            </w:r>
            <w:r w:rsidRPr="00AB06D0">
              <w:rPr>
                <w:sz w:val="22"/>
                <w:szCs w:val="22"/>
              </w:rPr>
              <w:t>физически</w:t>
            </w:r>
            <w:r>
              <w:rPr>
                <w:sz w:val="22"/>
                <w:szCs w:val="22"/>
              </w:rPr>
              <w:t>х</w:t>
            </w:r>
            <w:r w:rsidRPr="00AB06D0">
              <w:rPr>
                <w:sz w:val="22"/>
                <w:szCs w:val="22"/>
              </w:rPr>
              <w:t xml:space="preserve"> лиц для присоединения энергопринимающих устройств, максимальной мощностью до 15 кВт включительно (с учетом ранее присоединенных в данной точке присоединения энергопринимающих устройств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80A17" w:rsidRPr="00B53E22" w:rsidRDefault="00C66D28" w:rsidP="00F76830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  <w:r w:rsidR="00CB787B">
              <w:rPr>
                <w:position w:val="-6"/>
                <w:sz w:val="22"/>
                <w:szCs w:val="22"/>
              </w:rPr>
              <w:t>, личный кабинет потребителя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</w:pPr>
            <w:r>
              <w:t>В течение 15 дня со дня отправления обращения</w:t>
            </w:r>
          </w:p>
        </w:tc>
      </w:tr>
      <w:tr w:rsidR="00A80A17" w:rsidRPr="0082755A" w:rsidTr="00CE5DFA">
        <w:trPr>
          <w:trHeight w:val="202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13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Pr="00924E5F" w:rsidRDefault="00A80A17" w:rsidP="00F76830">
            <w:pPr>
              <w:pStyle w:val="ae"/>
              <w:keepNext w:val="0"/>
              <w:suppressAutoHyphens/>
              <w:ind w:firstLine="32"/>
              <w:contextualSpacing/>
              <w:rPr>
                <w:sz w:val="22"/>
                <w:szCs w:val="22"/>
              </w:rPr>
            </w:pPr>
            <w:r w:rsidRPr="00D360DE">
              <w:rPr>
                <w:bCs/>
                <w:sz w:val="22"/>
                <w:szCs w:val="22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80A17" w:rsidRDefault="00A80A17" w:rsidP="00CB787B">
            <w:pPr>
              <w:pStyle w:val="ae"/>
              <w:keepNext w:val="0"/>
              <w:suppressAutoHyphens/>
              <w:contextualSpacing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Интернет</w:t>
            </w:r>
            <w:r w:rsidR="00CB787B">
              <w:rPr>
                <w:position w:val="-6"/>
                <w:sz w:val="22"/>
                <w:szCs w:val="22"/>
              </w:rPr>
              <w:t>-</w:t>
            </w:r>
            <w:r>
              <w:rPr>
                <w:position w:val="-6"/>
                <w:sz w:val="22"/>
                <w:szCs w:val="22"/>
              </w:rPr>
              <w:t xml:space="preserve">приемная, </w:t>
            </w:r>
            <w:r w:rsidR="00C66D28">
              <w:rPr>
                <w:position w:val="-6"/>
                <w:sz w:val="22"/>
                <w:szCs w:val="22"/>
              </w:rPr>
              <w:t>Электронная почта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</w:pPr>
            <w:r>
              <w:t>На постоянной основе</w:t>
            </w:r>
          </w:p>
        </w:tc>
      </w:tr>
      <w:tr w:rsidR="00A80A17" w:rsidRPr="0082755A" w:rsidTr="00CE5DFA">
        <w:trPr>
          <w:trHeight w:val="2041"/>
        </w:trPr>
        <w:tc>
          <w:tcPr>
            <w:tcW w:w="649" w:type="dxa"/>
          </w:tcPr>
          <w:p w:rsidR="00A80A17" w:rsidRDefault="00A80A17" w:rsidP="00F76830">
            <w:pPr>
              <w:pStyle w:val="ae"/>
              <w:keepNext w:val="0"/>
              <w:suppressAutoHyphens/>
              <w:jc w:val="left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14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Default="00A80A17" w:rsidP="00F76830">
            <w:pPr>
              <w:pStyle w:val="ae"/>
              <w:keepNext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о </w:t>
            </w:r>
            <w:r w:rsidRPr="00FF6A79">
              <w:rPr>
                <w:sz w:val="22"/>
                <w:szCs w:val="22"/>
              </w:rPr>
              <w:t>причин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и срок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плановых перерывов передачи электрической энергии, причин</w:t>
            </w:r>
            <w:r>
              <w:rPr>
                <w:sz w:val="22"/>
                <w:szCs w:val="22"/>
              </w:rPr>
              <w:t>ах</w:t>
            </w:r>
            <w:r w:rsidRPr="00FF6A79">
              <w:rPr>
                <w:sz w:val="22"/>
                <w:szCs w:val="22"/>
              </w:rPr>
              <w:t xml:space="preserve"> несоблюдения требований к параметрам ее качества, а также дат</w:t>
            </w:r>
            <w:r>
              <w:rPr>
                <w:sz w:val="22"/>
                <w:szCs w:val="22"/>
              </w:rPr>
              <w:t>е</w:t>
            </w:r>
            <w:r w:rsidRPr="00FF6A79">
              <w:rPr>
                <w:sz w:val="22"/>
                <w:szCs w:val="22"/>
              </w:rPr>
              <w:t xml:space="preserve"> и врем</w:t>
            </w:r>
            <w:r>
              <w:rPr>
                <w:sz w:val="22"/>
                <w:szCs w:val="22"/>
              </w:rPr>
              <w:t>ени</w:t>
            </w:r>
            <w:r w:rsidRPr="00FF6A79">
              <w:rPr>
                <w:sz w:val="22"/>
                <w:szCs w:val="22"/>
              </w:rPr>
              <w:t xml:space="preserve"> восстановления передачи электрической энергии,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A17" w:rsidRDefault="00C66D28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Электронная почта</w:t>
            </w:r>
          </w:p>
          <w:p w:rsidR="00CB787B" w:rsidRPr="00B53E22" w:rsidRDefault="00CB787B" w:rsidP="00F76830">
            <w:pPr>
              <w:pStyle w:val="ae"/>
              <w:keepNext w:val="0"/>
              <w:suppressAutoHyphens/>
              <w:rPr>
                <w:position w:val="-6"/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A17" w:rsidRDefault="00A80A17" w:rsidP="00F76830">
            <w:pPr>
              <w:pStyle w:val="ae"/>
              <w:keepNext w:val="0"/>
              <w:suppressAutoHyphens/>
            </w:pPr>
            <w:r>
              <w:t>В течение 15 дня со дня отправления обращения</w:t>
            </w:r>
            <w:r w:rsidRPr="00FD0526">
              <w:t>. Если изложенные факты требуют анализа материалов, то</w:t>
            </w:r>
            <w:r>
              <w:t xml:space="preserve"> срок предоставления </w:t>
            </w:r>
            <w:r w:rsidRPr="00FD0526">
              <w:t>ответ</w:t>
            </w:r>
            <w:r>
              <w:t xml:space="preserve">а может быть продлен до </w:t>
            </w:r>
            <w:r w:rsidRPr="00FD0526">
              <w:t>30 дней</w:t>
            </w:r>
          </w:p>
        </w:tc>
      </w:tr>
    </w:tbl>
    <w:p w:rsidR="00A80A17" w:rsidRDefault="00A80A17" w:rsidP="00F7683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A80A17" w:rsidRDefault="00A80A17" w:rsidP="00F76830">
      <w:pPr>
        <w:autoSpaceDE w:val="0"/>
        <w:autoSpaceDN w:val="0"/>
        <w:adjustRightInd w:val="0"/>
        <w:jc w:val="right"/>
        <w:outlineLvl w:val="0"/>
      </w:pPr>
    </w:p>
    <w:p w:rsidR="00C60608" w:rsidRDefault="00C606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0608" w:rsidRPr="00C82C4D" w:rsidRDefault="00C60608" w:rsidP="00C60608">
      <w:pPr>
        <w:pStyle w:val="13"/>
        <w:rPr>
          <w:rFonts w:cs="Times New Roman"/>
        </w:rPr>
      </w:pPr>
      <w:bookmarkStart w:id="1" w:name="_Toc277840619"/>
      <w:bookmarkStart w:id="2" w:name="_Toc277840884"/>
      <w:bookmarkStart w:id="3" w:name="_Toc277840974"/>
      <w:bookmarkStart w:id="4" w:name="_Toc277841394"/>
      <w:bookmarkStart w:id="5" w:name="_Toc417316571"/>
      <w:r w:rsidRPr="00C82C4D">
        <w:rPr>
          <w:rFonts w:cs="Times New Roman"/>
        </w:rPr>
        <w:lastRenderedPageBreak/>
        <w:t>НОРМАТИВНЫЕ ПРАВОВЫЕ АКТЫ</w:t>
      </w:r>
      <w:bookmarkEnd w:id="1"/>
      <w:bookmarkEnd w:id="2"/>
      <w:bookmarkEnd w:id="3"/>
      <w:bookmarkEnd w:id="4"/>
      <w:bookmarkEnd w:id="5"/>
      <w:r>
        <w:rPr>
          <w:rFonts w:cs="Times New Roman"/>
        </w:rPr>
        <w:t>, РЕГЛАМЕНТИРУЮЩИЕ ПРОЦЕДУРУ ОКАЗАНИЯ (ОСУЩЕСТВЛЕНИЯ) СЕТЕВОЙ ОРГАНИЗАЦИЕЙ УСЛУГ (ПРОЦЕССОВ) ПОТРЕБИТЕЛЯМ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Гражданский кодекс Российской Федерации;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26 марта 2003 г. № 35-ФЗ «Об электроэнергетике»;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6 апреля 2011 г. № 63-ФЗ «Об электронной подписи»;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27 июля 2006 г. № 152-ФЗ «О персональных данных»;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23 ноября 2009 г. № 261-ФЗ «Об энергосбережении и о повышении энергетической эффективности</w:t>
      </w:r>
      <w:r>
        <w:rPr>
          <w:bCs/>
          <w:sz w:val="26"/>
          <w:szCs w:val="26"/>
        </w:rPr>
        <w:t>,</w:t>
      </w:r>
      <w:r w:rsidRPr="00CD751C">
        <w:rPr>
          <w:bCs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C60608" w:rsidRPr="00CD751C" w:rsidRDefault="00F079C1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hyperlink r:id="rId8" w:history="1">
        <w:r w:rsidR="00C60608" w:rsidRPr="00CD751C">
          <w:rPr>
            <w:bCs/>
            <w:sz w:val="26"/>
            <w:szCs w:val="26"/>
          </w:rPr>
          <w:t>Федеральный закон от 22 июля 2008 г. № 123-ФЗ «Технический регламент о требованиях пожарной безопасности»</w:t>
        </w:r>
      </w:hyperlink>
      <w:r w:rsidR="00C60608" w:rsidRPr="00CD751C">
        <w:rPr>
          <w:bCs/>
          <w:sz w:val="26"/>
          <w:szCs w:val="26"/>
        </w:rPr>
        <w:t>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 xml:space="preserve">Федеральный </w:t>
      </w:r>
      <w:hyperlink r:id="rId9" w:history="1">
        <w:r w:rsidRPr="00CD751C">
          <w:rPr>
            <w:bCs/>
            <w:sz w:val="26"/>
            <w:szCs w:val="26"/>
          </w:rPr>
          <w:t>закон</w:t>
        </w:r>
      </w:hyperlink>
      <w:r w:rsidRPr="00CD751C">
        <w:rPr>
          <w:bCs/>
          <w:sz w:val="26"/>
          <w:szCs w:val="26"/>
        </w:rPr>
        <w:t xml:space="preserve"> от 30 декабря 2009 г. № 384-ФЗ «Технический регламент о безопасности зданий и сооружений»;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Закон Российской Федерации от 7 февраля 1992 № 2300-1 «О защите прав потребителей»;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CD751C">
        <w:rPr>
          <w:bCs/>
          <w:sz w:val="26"/>
          <w:szCs w:val="26"/>
        </w:rPr>
        <w:t>аспоряжение Правительства РФ от 3 апреля 2013 г. № 511-р «Об утверждении Стратегии развития электросетевого комплекса Российской Федерации»;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остановление Правительства Российской Федерации от 21 января 2004 г.</w:t>
      </w:r>
      <w:r w:rsidRPr="00CD751C">
        <w:rPr>
          <w:bCs/>
          <w:sz w:val="26"/>
          <w:szCs w:val="26"/>
        </w:rPr>
        <w:br/>
        <w:t>№ 24 «Об утверждении стандартов раскрытия информации субъектами оптового и розничных рынков электрической энергии»;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остановление Правительства Российской Федерации от 4 мая 2012 г.</w:t>
      </w:r>
      <w:r w:rsidRPr="00CD751C">
        <w:rPr>
          <w:bCs/>
          <w:sz w:val="26"/>
          <w:szCs w:val="26"/>
        </w:rPr>
        <w:br/>
        <w:t>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остановление Правительства Российской Федерации от 27 декабря 2004 г.</w:t>
      </w:r>
      <w:r w:rsidRPr="00CD751C">
        <w:rPr>
          <w:bCs/>
          <w:sz w:val="26"/>
          <w:szCs w:val="26"/>
        </w:rPr>
        <w:br/>
        <w:t>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 xml:space="preserve">остановление Правительства Российской Федерации от 29 декабря 2011 г. </w:t>
      </w:r>
      <w:r w:rsidRPr="00CD751C">
        <w:rPr>
          <w:bCs/>
          <w:sz w:val="26"/>
          <w:szCs w:val="26"/>
        </w:rPr>
        <w:br/>
        <w:t>№ 1178 «О ценообразовании в области регулируемых цен (тарифов) в электроэнергетике»;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остановление Правительства Российской Федерации от 31 декабря 2009 г.</w:t>
      </w:r>
      <w:r w:rsidRPr="00CD751C">
        <w:rPr>
          <w:bCs/>
          <w:sz w:val="26"/>
          <w:szCs w:val="26"/>
        </w:rPr>
        <w:br/>
        <w:t>№ 1220 «Об определении применяемых при установлении долгосрочных тарифов показателей надежности и качества поставляемых товаров и оказываемых услуг»;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риказ Минэнерго России от 7 апреля 2010 г.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bookmarkStart w:id="6" w:name="стандарты"/>
      <w:bookmarkEnd w:id="6"/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>риказ Минэнерго России от 15 апреля 2014 г. № 186 «О Единых стандартах качества обслуживания сетевыми организациями потребителей услуг сетевых организаций»;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 xml:space="preserve">риказ Минэнерго России от 14 октября 2013 г. № 718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</w:t>
      </w:r>
      <w:r w:rsidRPr="00CD751C">
        <w:rPr>
          <w:bCs/>
          <w:sz w:val="26"/>
          <w:szCs w:val="26"/>
        </w:rPr>
        <w:lastRenderedPageBreak/>
        <w:t>электрической сетью и территориальных сетевых организаций»;</w:t>
      </w:r>
    </w:p>
    <w:p w:rsidR="00C60608" w:rsidRPr="00CD751C" w:rsidRDefault="00C60608" w:rsidP="00C6060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D751C">
        <w:rPr>
          <w:bCs/>
          <w:sz w:val="26"/>
          <w:szCs w:val="26"/>
        </w:rPr>
        <w:t xml:space="preserve">риказ ФСТ России </w:t>
      </w:r>
      <w:r w:rsidRPr="00CD751C">
        <w:rPr>
          <w:rFonts w:eastAsia="Calibri"/>
        </w:rPr>
        <w:t xml:space="preserve">от 24 октября 2014 </w:t>
      </w:r>
      <w:r w:rsidRPr="00CD751C">
        <w:rPr>
          <w:bCs/>
          <w:sz w:val="26"/>
          <w:szCs w:val="26"/>
        </w:rPr>
        <w:t>г. № 1831-э «Об утверждении форм раскрытия информации субъектами рынков электрической энергии и мощности, являющимися субъектами естественных монополий</w:t>
      </w:r>
      <w:r w:rsidRPr="00CD751C">
        <w:rPr>
          <w:rFonts w:eastAsia="Calibri"/>
        </w:rPr>
        <w:t>».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CD751C">
        <w:rPr>
          <w:bCs/>
          <w:sz w:val="26"/>
          <w:szCs w:val="26"/>
        </w:rPr>
        <w:t>ормы, правила и стандарты: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Правила устройства электроустановок;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21-01-97* «Пожарная безопасность зданий и сооружений»;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 31-06-2009 «Общественные здания и сооружения»;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21-02-99* «Стоянки автомобилей»;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88-2001 «Установки пожаротушения и сигнализации. Нормы и правила проектирования»;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12.1.004-91 «Система стандартов безопасности труда. Пожарная безопасность. Общие требования»;</w:t>
      </w:r>
    </w:p>
    <w:p w:rsidR="00C60608" w:rsidRPr="00CD751C" w:rsidRDefault="00C60608" w:rsidP="00C60608">
      <w:pPr>
        <w:widowControl w:val="0"/>
        <w:suppressLineNumbers/>
        <w:suppressAutoHyphens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Р 53368-2009 «Обслуживание потребителей электрической и тепловой энергии».</w:t>
      </w:r>
    </w:p>
    <w:p w:rsidR="00A80A17" w:rsidRPr="00EF0DFB" w:rsidRDefault="00A80A17" w:rsidP="00F768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80A17" w:rsidRPr="00EF0DFB" w:rsidSect="00A80A17">
      <w:headerReference w:type="even" r:id="rId10"/>
      <w:headerReference w:type="default" r:id="rId11"/>
      <w:pgSz w:w="11905" w:h="16838" w:code="9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C1" w:rsidRDefault="00F079C1" w:rsidP="00A80A17">
      <w:r>
        <w:separator/>
      </w:r>
    </w:p>
  </w:endnote>
  <w:endnote w:type="continuationSeparator" w:id="0">
    <w:p w:rsidR="00F079C1" w:rsidRDefault="00F079C1" w:rsidP="00A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C1" w:rsidRDefault="00F079C1" w:rsidP="00A80A17">
      <w:r>
        <w:separator/>
      </w:r>
    </w:p>
  </w:footnote>
  <w:footnote w:type="continuationSeparator" w:id="0">
    <w:p w:rsidR="00F079C1" w:rsidRDefault="00F079C1" w:rsidP="00A8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6F" w:rsidRDefault="0038216F" w:rsidP="00346D6A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795067"/>
      <w:docPartObj>
        <w:docPartGallery w:val="Page Numbers (Top of Page)"/>
        <w:docPartUnique/>
      </w:docPartObj>
    </w:sdtPr>
    <w:sdtEndPr/>
    <w:sdtContent>
      <w:p w:rsidR="0038216F" w:rsidRDefault="00251BA8" w:rsidP="00F768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D25C19"/>
    <w:multiLevelType w:val="multilevel"/>
    <w:tmpl w:val="67CA06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20F2F"/>
    <w:multiLevelType w:val="hybridMultilevel"/>
    <w:tmpl w:val="76F62492"/>
    <w:lvl w:ilvl="0" w:tplc="3320AEA0">
      <w:start w:val="1"/>
      <w:numFmt w:val="russianLower"/>
      <w:lvlText w:val="%1)"/>
      <w:lvlJc w:val="left"/>
      <w:pPr>
        <w:ind w:left="1648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71010F4"/>
    <w:multiLevelType w:val="multilevel"/>
    <w:tmpl w:val="0CF220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81E4C77"/>
    <w:multiLevelType w:val="hybridMultilevel"/>
    <w:tmpl w:val="297CD31A"/>
    <w:lvl w:ilvl="0" w:tplc="E9F04E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9210EA0"/>
    <w:multiLevelType w:val="multilevel"/>
    <w:tmpl w:val="82660F9C"/>
    <w:lvl w:ilvl="0">
      <w:start w:val="1"/>
      <w:numFmt w:val="upperRoman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upperRoman"/>
      <w:lvlText w:val="%2.I"/>
      <w:lvlJc w:val="left"/>
      <w:pPr>
        <w:ind w:left="108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7511F4"/>
    <w:multiLevelType w:val="hybridMultilevel"/>
    <w:tmpl w:val="C93CB6AA"/>
    <w:lvl w:ilvl="0" w:tplc="3320AEA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6E1C24"/>
    <w:multiLevelType w:val="hybridMultilevel"/>
    <w:tmpl w:val="8C4E29EA"/>
    <w:lvl w:ilvl="0" w:tplc="3320AEA0">
      <w:start w:val="1"/>
      <w:numFmt w:val="russianLower"/>
      <w:lvlText w:val="%1)"/>
      <w:lvlJc w:val="left"/>
      <w:pPr>
        <w:ind w:left="1648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762A6DCB"/>
    <w:multiLevelType w:val="hybridMultilevel"/>
    <w:tmpl w:val="926009B6"/>
    <w:lvl w:ilvl="0" w:tplc="DEDE89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3320AEA0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E4A328F"/>
    <w:multiLevelType w:val="hybridMultilevel"/>
    <w:tmpl w:val="E92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A17"/>
    <w:rsid w:val="0002336B"/>
    <w:rsid w:val="00026624"/>
    <w:rsid w:val="00044678"/>
    <w:rsid w:val="00046B12"/>
    <w:rsid w:val="000B477C"/>
    <w:rsid w:val="000D6A4C"/>
    <w:rsid w:val="00122DE5"/>
    <w:rsid w:val="00174AC2"/>
    <w:rsid w:val="001F215D"/>
    <w:rsid w:val="002201DC"/>
    <w:rsid w:val="002245AE"/>
    <w:rsid w:val="00251BA8"/>
    <w:rsid w:val="002D3696"/>
    <w:rsid w:val="002F1174"/>
    <w:rsid w:val="002F1AD9"/>
    <w:rsid w:val="00346D6A"/>
    <w:rsid w:val="0035192B"/>
    <w:rsid w:val="00363BEB"/>
    <w:rsid w:val="00364655"/>
    <w:rsid w:val="003658E5"/>
    <w:rsid w:val="0038216F"/>
    <w:rsid w:val="0038772B"/>
    <w:rsid w:val="00396F59"/>
    <w:rsid w:val="003E66E1"/>
    <w:rsid w:val="004226E9"/>
    <w:rsid w:val="0044643F"/>
    <w:rsid w:val="00485DDA"/>
    <w:rsid w:val="0049061F"/>
    <w:rsid w:val="004B637E"/>
    <w:rsid w:val="004B666D"/>
    <w:rsid w:val="004C0FA7"/>
    <w:rsid w:val="004D2AFE"/>
    <w:rsid w:val="004F77B7"/>
    <w:rsid w:val="0050153D"/>
    <w:rsid w:val="005048FD"/>
    <w:rsid w:val="0053682D"/>
    <w:rsid w:val="00564652"/>
    <w:rsid w:val="005A1070"/>
    <w:rsid w:val="005C157C"/>
    <w:rsid w:val="00614040"/>
    <w:rsid w:val="00631FCB"/>
    <w:rsid w:val="007560A1"/>
    <w:rsid w:val="0079349A"/>
    <w:rsid w:val="007C7A50"/>
    <w:rsid w:val="007E30EE"/>
    <w:rsid w:val="00811267"/>
    <w:rsid w:val="008440B8"/>
    <w:rsid w:val="00875D82"/>
    <w:rsid w:val="008D20BB"/>
    <w:rsid w:val="008D561F"/>
    <w:rsid w:val="0093291D"/>
    <w:rsid w:val="009A1E47"/>
    <w:rsid w:val="009B5B82"/>
    <w:rsid w:val="009E2043"/>
    <w:rsid w:val="00A00ABC"/>
    <w:rsid w:val="00A00E31"/>
    <w:rsid w:val="00A5399C"/>
    <w:rsid w:val="00A71738"/>
    <w:rsid w:val="00A74A7C"/>
    <w:rsid w:val="00A80A17"/>
    <w:rsid w:val="00AE1CC5"/>
    <w:rsid w:val="00AE4140"/>
    <w:rsid w:val="00B21601"/>
    <w:rsid w:val="00B640F4"/>
    <w:rsid w:val="00BE4B76"/>
    <w:rsid w:val="00C36273"/>
    <w:rsid w:val="00C52167"/>
    <w:rsid w:val="00C60608"/>
    <w:rsid w:val="00C66D28"/>
    <w:rsid w:val="00C76A0F"/>
    <w:rsid w:val="00CB787B"/>
    <w:rsid w:val="00CE5DFA"/>
    <w:rsid w:val="00CF0751"/>
    <w:rsid w:val="00D30B7A"/>
    <w:rsid w:val="00DB666C"/>
    <w:rsid w:val="00DC0746"/>
    <w:rsid w:val="00E1159E"/>
    <w:rsid w:val="00E13478"/>
    <w:rsid w:val="00E37780"/>
    <w:rsid w:val="00EC6C48"/>
    <w:rsid w:val="00ED07FF"/>
    <w:rsid w:val="00F079C1"/>
    <w:rsid w:val="00F14550"/>
    <w:rsid w:val="00F76830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5CBDD-79CB-4059-B854-0EEA50A5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A80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0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0">
    <w:name w:val="heading 4"/>
    <w:basedOn w:val="a"/>
    <w:next w:val="a"/>
    <w:link w:val="41"/>
    <w:semiHidden/>
    <w:unhideWhenUsed/>
    <w:qFormat/>
    <w:rsid w:val="00A80A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A80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0A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semiHidden/>
    <w:rsid w:val="00A80A1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A80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A80A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0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0A17"/>
  </w:style>
  <w:style w:type="paragraph" w:styleId="a6">
    <w:name w:val="Balloon Text"/>
    <w:basedOn w:val="a"/>
    <w:link w:val="a7"/>
    <w:semiHidden/>
    <w:rsid w:val="00A80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0A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80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80A17"/>
    <w:rPr>
      <w:rFonts w:cs="Times New Roman"/>
    </w:rPr>
  </w:style>
  <w:style w:type="paragraph" w:customStyle="1" w:styleId="a8">
    <w:name w:val="МРСК_маркированный"/>
    <w:basedOn w:val="a9"/>
    <w:rsid w:val="00A80A17"/>
    <w:pPr>
      <w:contextualSpacing/>
      <w:jc w:val="both"/>
    </w:pPr>
    <w:rPr>
      <w:sz w:val="26"/>
    </w:rPr>
  </w:style>
  <w:style w:type="paragraph" w:styleId="a9">
    <w:name w:val="List Bullet"/>
    <w:basedOn w:val="a"/>
    <w:rsid w:val="00A80A17"/>
    <w:pPr>
      <w:ind w:left="360" w:hanging="360"/>
    </w:pPr>
  </w:style>
  <w:style w:type="table" w:styleId="aa">
    <w:name w:val="Table Grid"/>
    <w:basedOn w:val="a1"/>
    <w:rsid w:val="00A8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w">
    <w:name w:val="Заголовок 2 new"/>
    <w:basedOn w:val="2"/>
    <w:rsid w:val="00A80A17"/>
    <w:pPr>
      <w:numPr>
        <w:ilvl w:val="1"/>
      </w:numPr>
      <w:tabs>
        <w:tab w:val="left" w:pos="198"/>
        <w:tab w:val="left" w:pos="340"/>
        <w:tab w:val="left" w:pos="686"/>
        <w:tab w:val="num" w:pos="2016"/>
      </w:tabs>
      <w:ind w:left="2016" w:hanging="576"/>
    </w:pPr>
    <w:rPr>
      <w:rFonts w:ascii="Times New Roman" w:hAnsi="Times New Roman"/>
      <w:i w:val="0"/>
    </w:rPr>
  </w:style>
  <w:style w:type="paragraph" w:customStyle="1" w:styleId="ab">
    <w:name w:val="МРСК_колонтитул_верхний_правый"/>
    <w:basedOn w:val="ac"/>
    <w:link w:val="ad"/>
    <w:rsid w:val="00A80A17"/>
    <w:pPr>
      <w:keepNext/>
      <w:ind w:firstLine="709"/>
      <w:jc w:val="right"/>
    </w:pPr>
    <w:rPr>
      <w:caps/>
      <w:sz w:val="16"/>
      <w:szCs w:val="16"/>
    </w:rPr>
  </w:style>
  <w:style w:type="paragraph" w:customStyle="1" w:styleId="ae">
    <w:name w:val="МРСК_таблица_текст"/>
    <w:basedOn w:val="a"/>
    <w:rsid w:val="00A80A17"/>
    <w:pPr>
      <w:keepNext/>
      <w:jc w:val="both"/>
    </w:pPr>
    <w:rPr>
      <w:sz w:val="20"/>
      <w:szCs w:val="20"/>
    </w:rPr>
  </w:style>
  <w:style w:type="character" w:customStyle="1" w:styleId="ad">
    <w:name w:val="МРСК_колонтитул_верхний_правый Знак"/>
    <w:link w:val="ab"/>
    <w:rsid w:val="00A80A17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styleId="ac">
    <w:name w:val="header"/>
    <w:basedOn w:val="a"/>
    <w:link w:val="af"/>
    <w:uiPriority w:val="99"/>
    <w:rsid w:val="00A80A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c"/>
    <w:uiPriority w:val="99"/>
    <w:rsid w:val="00A8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rsid w:val="00A80A1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8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A80A17"/>
    <w:rPr>
      <w:vertAlign w:val="superscript"/>
    </w:rPr>
  </w:style>
  <w:style w:type="paragraph" w:customStyle="1" w:styleId="af3">
    <w:name w:val="МРСК_таблица_название"/>
    <w:basedOn w:val="af4"/>
    <w:rsid w:val="00A80A17"/>
    <w:pPr>
      <w:spacing w:before="120" w:after="60"/>
      <w:contextualSpacing/>
    </w:pPr>
    <w:rPr>
      <w:b w:val="0"/>
      <w:sz w:val="26"/>
      <w:szCs w:val="26"/>
    </w:rPr>
  </w:style>
  <w:style w:type="paragraph" w:styleId="af4">
    <w:name w:val="caption"/>
    <w:basedOn w:val="a"/>
    <w:next w:val="a"/>
    <w:qFormat/>
    <w:rsid w:val="00A80A17"/>
    <w:rPr>
      <w:b/>
      <w:bCs/>
      <w:sz w:val="20"/>
      <w:szCs w:val="20"/>
    </w:rPr>
  </w:style>
  <w:style w:type="paragraph" w:styleId="af5">
    <w:name w:val="annotation text"/>
    <w:basedOn w:val="a"/>
    <w:link w:val="af6"/>
    <w:semiHidden/>
    <w:rsid w:val="00A80A1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80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A80A17"/>
    <w:rPr>
      <w:rFonts w:ascii="Times" w:eastAsia="Times" w:hAnsi="Times"/>
      <w:b/>
      <w:bCs/>
    </w:rPr>
  </w:style>
  <w:style w:type="character" w:customStyle="1" w:styleId="af8">
    <w:name w:val="Тема примечания Знак"/>
    <w:basedOn w:val="af6"/>
    <w:link w:val="af7"/>
    <w:semiHidden/>
    <w:rsid w:val="00A80A17"/>
    <w:rPr>
      <w:rFonts w:ascii="Times" w:eastAsia="Times" w:hAnsi="Times" w:cs="Times New Roman"/>
      <w:b/>
      <w:bCs/>
      <w:sz w:val="20"/>
      <w:szCs w:val="20"/>
      <w:lang w:eastAsia="ru-RU"/>
    </w:rPr>
  </w:style>
  <w:style w:type="character" w:styleId="af9">
    <w:name w:val="endnote reference"/>
    <w:semiHidden/>
    <w:rsid w:val="00A80A17"/>
    <w:rPr>
      <w:vertAlign w:val="superscript"/>
    </w:rPr>
  </w:style>
  <w:style w:type="paragraph" w:styleId="afa">
    <w:name w:val="Body Text"/>
    <w:aliases w:val="Письмо в Интернет"/>
    <w:basedOn w:val="a"/>
    <w:link w:val="afb"/>
    <w:rsid w:val="00A80A17"/>
    <w:pPr>
      <w:autoSpaceDE w:val="0"/>
      <w:autoSpaceDN w:val="0"/>
      <w:spacing w:before="1360"/>
      <w:jc w:val="both"/>
    </w:pPr>
    <w:rPr>
      <w:sz w:val="20"/>
    </w:rPr>
  </w:style>
  <w:style w:type="character" w:customStyle="1" w:styleId="afb">
    <w:name w:val="Основной текст Знак"/>
    <w:aliases w:val="Письмо в Интернет Знак"/>
    <w:basedOn w:val="a0"/>
    <w:link w:val="afa"/>
    <w:rsid w:val="00A80A17"/>
    <w:rPr>
      <w:rFonts w:ascii="Times New Roman" w:eastAsia="Times New Roman" w:hAnsi="Times New Roman" w:cs="Times New Roman"/>
      <w:sz w:val="20"/>
      <w:szCs w:val="24"/>
    </w:rPr>
  </w:style>
  <w:style w:type="character" w:styleId="afc">
    <w:name w:val="annotation reference"/>
    <w:semiHidden/>
    <w:rsid w:val="00A80A17"/>
    <w:rPr>
      <w:sz w:val="16"/>
      <w:szCs w:val="16"/>
    </w:rPr>
  </w:style>
  <w:style w:type="paragraph" w:customStyle="1" w:styleId="afd">
    <w:name w:val="Стиль По ширине"/>
    <w:basedOn w:val="a"/>
    <w:rsid w:val="00A80A17"/>
    <w:pPr>
      <w:jc w:val="both"/>
    </w:pPr>
    <w:rPr>
      <w:szCs w:val="20"/>
    </w:rPr>
  </w:style>
  <w:style w:type="paragraph" w:customStyle="1" w:styleId="13">
    <w:name w:val="МРСК_заголовок_1"/>
    <w:basedOn w:val="10"/>
    <w:rsid w:val="00A80A17"/>
    <w:pPr>
      <w:spacing w:after="240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">
    <w:name w:val="МРСК_заголовок_2"/>
    <w:basedOn w:val="a"/>
    <w:link w:val="22"/>
    <w:rsid w:val="00A80A17"/>
    <w:pPr>
      <w:widowControl w:val="0"/>
      <w:suppressLineNumbers/>
      <w:suppressAutoHyphens/>
      <w:spacing w:before="240" w:after="120"/>
      <w:contextualSpacing/>
      <w:jc w:val="center"/>
      <w:outlineLvl w:val="1"/>
    </w:pPr>
    <w:rPr>
      <w:b/>
      <w:sz w:val="26"/>
      <w:szCs w:val="26"/>
    </w:rPr>
  </w:style>
  <w:style w:type="character" w:customStyle="1" w:styleId="22">
    <w:name w:val="МРСК_заголовок_2 Знак"/>
    <w:link w:val="21"/>
    <w:rsid w:val="00A80A17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tekstob">
    <w:name w:val="tekstob"/>
    <w:basedOn w:val="a"/>
    <w:rsid w:val="00A80A17"/>
    <w:pPr>
      <w:spacing w:before="100" w:beforeAutospacing="1" w:after="100" w:afterAutospacing="1"/>
    </w:pPr>
  </w:style>
  <w:style w:type="paragraph" w:customStyle="1" w:styleId="ConsPlusNormal">
    <w:name w:val="ConsPlusNormal"/>
    <w:rsid w:val="00A80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0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0A17"/>
    <w:rPr>
      <w:rFonts w:ascii="Courier New" w:eastAsia="Times New Roman" w:hAnsi="Courier New" w:cs="Times New Roman"/>
      <w:sz w:val="20"/>
      <w:szCs w:val="20"/>
    </w:rPr>
  </w:style>
  <w:style w:type="paragraph" w:styleId="afe">
    <w:name w:val="Revision"/>
    <w:hidden/>
    <w:uiPriority w:val="99"/>
    <w:semiHidden/>
    <w:rsid w:val="00A8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A80A17"/>
    <w:pPr>
      <w:spacing w:before="100" w:beforeAutospacing="1" w:after="100" w:afterAutospacing="1"/>
    </w:pPr>
  </w:style>
  <w:style w:type="paragraph" w:customStyle="1" w:styleId="1">
    <w:name w:val="1. Стиль"/>
    <w:basedOn w:val="11"/>
    <w:qFormat/>
    <w:rsid w:val="00A80A17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fa"/>
    <w:link w:val="110"/>
    <w:qFormat/>
    <w:rsid w:val="00A80A17"/>
    <w:pPr>
      <w:numPr>
        <w:ilvl w:val="1"/>
        <w:numId w:val="2"/>
      </w:numPr>
      <w:tabs>
        <w:tab w:val="left" w:pos="851"/>
      </w:tabs>
      <w:autoSpaceDE/>
      <w:autoSpaceDN/>
      <w:spacing w:before="0"/>
      <w:ind w:left="0" w:right="-58" w:firstLine="426"/>
    </w:pPr>
    <w:rPr>
      <w:sz w:val="22"/>
      <w:szCs w:val="22"/>
    </w:rPr>
  </w:style>
  <w:style w:type="paragraph" w:customStyle="1" w:styleId="aff0">
    <w:name w:val="_Стиль"/>
    <w:basedOn w:val="afa"/>
    <w:link w:val="aff1"/>
    <w:qFormat/>
    <w:rsid w:val="00A80A17"/>
    <w:pPr>
      <w:autoSpaceDE/>
      <w:autoSpaceDN/>
      <w:spacing w:before="0"/>
      <w:ind w:right="-2" w:firstLine="709"/>
    </w:pPr>
    <w:rPr>
      <w:spacing w:val="-1"/>
      <w:sz w:val="22"/>
      <w:szCs w:val="22"/>
    </w:rPr>
  </w:style>
  <w:style w:type="character" w:customStyle="1" w:styleId="aff1">
    <w:name w:val="_Стиль Знак"/>
    <w:link w:val="aff0"/>
    <w:rsid w:val="00A80A17"/>
    <w:rPr>
      <w:rFonts w:ascii="Times New Roman" w:eastAsia="Times New Roman" w:hAnsi="Times New Roman" w:cs="Times New Roman"/>
      <w:spacing w:val="-1"/>
    </w:rPr>
  </w:style>
  <w:style w:type="paragraph" w:customStyle="1" w:styleId="111">
    <w:name w:val="1.1.1. Стиль"/>
    <w:basedOn w:val="a"/>
    <w:link w:val="1110"/>
    <w:qFormat/>
    <w:rsid w:val="00A80A17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ind w:left="0" w:firstLine="426"/>
      <w:jc w:val="both"/>
    </w:pPr>
    <w:rPr>
      <w:sz w:val="22"/>
      <w:szCs w:val="22"/>
    </w:rPr>
  </w:style>
  <w:style w:type="character" w:customStyle="1" w:styleId="1110">
    <w:name w:val="1.1.1. Стиль Знак"/>
    <w:link w:val="111"/>
    <w:rsid w:val="00A80A17"/>
    <w:rPr>
      <w:rFonts w:ascii="Times New Roman" w:eastAsia="Times New Roman" w:hAnsi="Times New Roman" w:cs="Times New Roman"/>
    </w:rPr>
  </w:style>
  <w:style w:type="character" w:customStyle="1" w:styleId="110">
    <w:name w:val="1.1. Обычный Знак"/>
    <w:link w:val="11"/>
    <w:rsid w:val="00A80A17"/>
    <w:rPr>
      <w:rFonts w:ascii="Times New Roman" w:eastAsia="Times New Roman" w:hAnsi="Times New Roman" w:cs="Times New Roman"/>
    </w:rPr>
  </w:style>
  <w:style w:type="paragraph" w:customStyle="1" w:styleId="aff2">
    <w:name w:val="МРСК_шрифт_абзаца"/>
    <w:basedOn w:val="a"/>
    <w:link w:val="aff3"/>
    <w:rsid w:val="00A80A17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</w:style>
  <w:style w:type="character" w:customStyle="1" w:styleId="aff3">
    <w:name w:val="МРСК_шрифт_абзаца Знак"/>
    <w:link w:val="aff2"/>
    <w:rsid w:val="00A80A17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МРСК_нумерованный_список"/>
    <w:basedOn w:val="aff5"/>
    <w:link w:val="aff6"/>
    <w:rsid w:val="00A80A17"/>
    <w:pPr>
      <w:keepNext/>
      <w:spacing w:line="300" w:lineRule="auto"/>
      <w:contextualSpacing w:val="0"/>
      <w:jc w:val="both"/>
    </w:pPr>
  </w:style>
  <w:style w:type="character" w:customStyle="1" w:styleId="aff6">
    <w:name w:val="МРСК_нумерованный_список Знак"/>
    <w:link w:val="aff4"/>
    <w:rsid w:val="00A80A17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 Number"/>
    <w:basedOn w:val="a"/>
    <w:rsid w:val="00A80A17"/>
    <w:pPr>
      <w:contextualSpacing/>
    </w:pPr>
  </w:style>
  <w:style w:type="character" w:customStyle="1" w:styleId="apple-converted-space">
    <w:name w:val="apple-converted-space"/>
    <w:basedOn w:val="a0"/>
    <w:rsid w:val="00A80A17"/>
  </w:style>
  <w:style w:type="character" w:customStyle="1" w:styleId="epm">
    <w:name w:val="epm"/>
    <w:basedOn w:val="a0"/>
    <w:rsid w:val="00A80A17"/>
  </w:style>
  <w:style w:type="paragraph" w:customStyle="1" w:styleId="ConsPlusNonformat">
    <w:name w:val="ConsPlusNonformat"/>
    <w:uiPriority w:val="99"/>
    <w:rsid w:val="00A80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МРСК_основной_абзаца"/>
    <w:basedOn w:val="a"/>
    <w:rsid w:val="00A80A17"/>
    <w:pPr>
      <w:keepNext/>
      <w:keepLines/>
      <w:suppressLineNumbers/>
      <w:spacing w:before="120" w:after="120" w:line="300" w:lineRule="auto"/>
      <w:ind w:firstLine="709"/>
      <w:contextualSpacing/>
      <w:jc w:val="both"/>
    </w:pPr>
  </w:style>
  <w:style w:type="paragraph" w:customStyle="1" w:styleId="aff8">
    <w:name w:val="Список_без_б"/>
    <w:basedOn w:val="a"/>
    <w:rsid w:val="00A80A17"/>
    <w:pPr>
      <w:spacing w:before="40" w:after="40"/>
      <w:ind w:left="357"/>
      <w:jc w:val="both"/>
    </w:pPr>
    <w:rPr>
      <w:sz w:val="22"/>
      <w:szCs w:val="20"/>
    </w:rPr>
  </w:style>
  <w:style w:type="paragraph" w:customStyle="1" w:styleId="14">
    <w:name w:val="Знак Знак1"/>
    <w:basedOn w:val="a"/>
    <w:rsid w:val="00A80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">
    <w:name w:val="r"/>
    <w:basedOn w:val="a0"/>
    <w:rsid w:val="00A80A17"/>
  </w:style>
  <w:style w:type="character" w:customStyle="1" w:styleId="f">
    <w:name w:val="f"/>
    <w:basedOn w:val="a0"/>
    <w:rsid w:val="00A80A17"/>
  </w:style>
  <w:style w:type="paragraph" w:customStyle="1" w:styleId="4">
    <w:name w:val="МРСК_заголовок_4"/>
    <w:basedOn w:val="40"/>
    <w:qFormat/>
    <w:rsid w:val="00A80A17"/>
    <w:pPr>
      <w:numPr>
        <w:ilvl w:val="3"/>
        <w:numId w:val="5"/>
      </w:numPr>
      <w:spacing w:line="300" w:lineRule="auto"/>
    </w:pPr>
    <w:rPr>
      <w:rFonts w:ascii="Times New Roman" w:hAnsi="Times New Roman"/>
      <w:b w:val="0"/>
      <w:caps/>
      <w:sz w:val="24"/>
    </w:rPr>
  </w:style>
  <w:style w:type="character" w:styleId="aff9">
    <w:name w:val="Hyperlink"/>
    <w:uiPriority w:val="99"/>
    <w:unhideWhenUsed/>
    <w:rsid w:val="00A80A17"/>
    <w:rPr>
      <w:color w:val="0000FF"/>
      <w:u w:val="single"/>
    </w:rPr>
  </w:style>
  <w:style w:type="paragraph" w:customStyle="1" w:styleId="15">
    <w:name w:val="заголовок 1"/>
    <w:basedOn w:val="a"/>
    <w:next w:val="a"/>
    <w:rsid w:val="00A80A17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a">
    <w:name w:val="Центр"/>
    <w:basedOn w:val="a"/>
    <w:rsid w:val="00A80A17"/>
    <w:pPr>
      <w:spacing w:line="320" w:lineRule="exact"/>
      <w:jc w:val="center"/>
    </w:pPr>
    <w:rPr>
      <w:sz w:val="28"/>
      <w:szCs w:val="20"/>
    </w:rPr>
  </w:style>
  <w:style w:type="paragraph" w:styleId="affb">
    <w:name w:val="Block Text"/>
    <w:basedOn w:val="a"/>
    <w:rsid w:val="00A80A17"/>
    <w:pPr>
      <w:widowControl w:val="0"/>
      <w:ind w:left="280" w:right="200"/>
      <w:jc w:val="center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58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5F72BBB33D6CDEC184F4F8A66EA6559C317BEA0CD34976DB0E1661Cj4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0D96-792A-4765-B39F-22A51F55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Алевтина</cp:lastModifiedBy>
  <cp:revision>13</cp:revision>
  <cp:lastPrinted>2013-08-15T10:28:00Z</cp:lastPrinted>
  <dcterms:created xsi:type="dcterms:W3CDTF">2013-08-15T05:22:00Z</dcterms:created>
  <dcterms:modified xsi:type="dcterms:W3CDTF">2018-01-10T12:31:00Z</dcterms:modified>
</cp:coreProperties>
</file>